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F27D7" w14:textId="7F91B895" w:rsidR="00010D29" w:rsidRDefault="00010D29" w:rsidP="00010D29">
      <w:pPr>
        <w:pBdr>
          <w:top w:val="single" w:sz="4" w:space="1" w:color="auto"/>
          <w:left w:val="single" w:sz="4" w:space="1" w:color="auto"/>
          <w:bottom w:val="single" w:sz="4" w:space="1" w:color="auto"/>
          <w:right w:val="single" w:sz="4" w:space="1" w:color="auto"/>
        </w:pBdr>
        <w:spacing w:after="0"/>
        <w:jc w:val="center"/>
        <w:rPr>
          <w:rFonts w:ascii="Arial" w:eastAsia="Calibri" w:hAnsi="Arial" w:cs="Tahoma"/>
          <w:sz w:val="20"/>
        </w:rPr>
      </w:pPr>
      <w:r w:rsidRPr="00A92283">
        <w:rPr>
          <w:rFonts w:ascii="Arial" w:eastAsia="Calibri" w:hAnsi="Arial" w:cs="Tahoma"/>
          <w:b/>
          <w:bCs/>
          <w:sz w:val="20"/>
        </w:rPr>
        <w:t>AGEA - PROCEDURE DI CONTROLLO PER APPALTI PUBBLICI DI LAVORI, SERVIZI E FORNITURE</w:t>
      </w:r>
    </w:p>
    <w:p w14:paraId="27841CAC" w14:textId="4423224A" w:rsidR="00010D29" w:rsidRPr="00A92283" w:rsidRDefault="00010D29" w:rsidP="00010D29">
      <w:pPr>
        <w:pBdr>
          <w:top w:val="single" w:sz="4" w:space="1" w:color="auto"/>
          <w:left w:val="single" w:sz="4" w:space="1" w:color="auto"/>
          <w:bottom w:val="single" w:sz="4" w:space="1" w:color="auto"/>
          <w:right w:val="single" w:sz="4" w:space="1" w:color="auto"/>
        </w:pBdr>
        <w:spacing w:after="0"/>
        <w:jc w:val="center"/>
        <w:rPr>
          <w:rFonts w:ascii="Arial" w:eastAsia="Calibri" w:hAnsi="Arial" w:cs="Tahoma"/>
          <w:sz w:val="20"/>
        </w:rPr>
      </w:pPr>
      <w:r w:rsidRPr="00A92283">
        <w:rPr>
          <w:rFonts w:ascii="Arial" w:eastAsia="Calibri" w:hAnsi="Arial" w:cs="Tahoma"/>
          <w:sz w:val="20"/>
        </w:rPr>
        <w:t>(</w:t>
      </w:r>
      <w:proofErr w:type="spellStart"/>
      <w:r w:rsidRPr="00A92283">
        <w:rPr>
          <w:rFonts w:ascii="Arial" w:eastAsia="Calibri" w:hAnsi="Arial" w:cs="Tahoma"/>
          <w:sz w:val="20"/>
        </w:rPr>
        <w:t>D.Lgs.</w:t>
      </w:r>
      <w:proofErr w:type="spellEnd"/>
      <w:r w:rsidRPr="00A92283">
        <w:rPr>
          <w:rFonts w:ascii="Arial" w:eastAsia="Calibri" w:hAnsi="Arial" w:cs="Tahoma"/>
          <w:sz w:val="20"/>
        </w:rPr>
        <w:t xml:space="preserve"> 31 marzo 2023, n. 36 e </w:t>
      </w:r>
      <w:proofErr w:type="spellStart"/>
      <w:r w:rsidRPr="00A92283">
        <w:rPr>
          <w:rFonts w:ascii="Arial" w:eastAsia="Calibri" w:hAnsi="Arial" w:cs="Tahoma"/>
          <w:sz w:val="20"/>
        </w:rPr>
        <w:t>s.m.i.</w:t>
      </w:r>
      <w:proofErr w:type="spellEnd"/>
      <w:r w:rsidRPr="00A92283">
        <w:rPr>
          <w:rFonts w:ascii="Arial" w:eastAsia="Calibri" w:hAnsi="Arial" w:cs="Tahoma"/>
          <w:sz w:val="20"/>
        </w:rPr>
        <w:t>)</w:t>
      </w:r>
    </w:p>
    <w:p w14:paraId="177AE16C" w14:textId="77777777" w:rsidR="00010D29" w:rsidRDefault="00010D29" w:rsidP="00010D29">
      <w:pPr>
        <w:pBdr>
          <w:top w:val="single" w:sz="4" w:space="1" w:color="auto"/>
          <w:left w:val="single" w:sz="4" w:space="1" w:color="auto"/>
          <w:bottom w:val="single" w:sz="4" w:space="1" w:color="auto"/>
          <w:right w:val="single" w:sz="4" w:space="1" w:color="auto"/>
        </w:pBdr>
        <w:spacing w:line="360" w:lineRule="auto"/>
        <w:contextualSpacing/>
        <w:jc w:val="center"/>
        <w:rPr>
          <w:rFonts w:ascii="Arial" w:eastAsia="Calibri" w:hAnsi="Arial" w:cs="Tahoma"/>
          <w:sz w:val="20"/>
        </w:rPr>
      </w:pPr>
      <w:r w:rsidRPr="00816B8E">
        <w:rPr>
          <w:rFonts w:ascii="Arial" w:eastAsia="Calibri" w:hAnsi="Arial" w:cs="Tahoma"/>
          <w:sz w:val="20"/>
        </w:rPr>
        <w:t xml:space="preserve">Criteri generali per l’applicazione delle riduzioni ed esclusioni per mancato rispetto delle regole sugli appalti pubblici </w:t>
      </w:r>
      <w:r w:rsidRPr="00816B8E">
        <w:rPr>
          <w:rFonts w:ascii="Arial" w:hAnsi="Arial" w:cs="Tahoma"/>
          <w:sz w:val="20"/>
        </w:rPr>
        <w:t>(</w:t>
      </w:r>
      <w:proofErr w:type="spellStart"/>
      <w:r w:rsidRPr="00816B8E">
        <w:rPr>
          <w:rFonts w:ascii="Arial" w:hAnsi="Arial" w:cs="Tahoma"/>
          <w:sz w:val="20"/>
        </w:rPr>
        <w:t>D.Lgs.</w:t>
      </w:r>
      <w:proofErr w:type="spellEnd"/>
      <w:r w:rsidRPr="00816B8E">
        <w:rPr>
          <w:rFonts w:ascii="Arial" w:hAnsi="Arial" w:cs="Tahoma"/>
          <w:sz w:val="20"/>
        </w:rPr>
        <w:t xml:space="preserve"> 17 marzo 2023 n. 42, art. 16)</w:t>
      </w:r>
      <w:r>
        <w:rPr>
          <w:rFonts w:ascii="Arial" w:hAnsi="Arial" w:cs="Tahoma"/>
          <w:sz w:val="20"/>
        </w:rPr>
        <w:t xml:space="preserve"> </w:t>
      </w:r>
      <w:r w:rsidRPr="00816B8E">
        <w:rPr>
          <w:rFonts w:ascii="Arial" w:eastAsia="Calibri" w:hAnsi="Arial" w:cs="Tahoma"/>
          <w:sz w:val="20"/>
        </w:rPr>
        <w:t xml:space="preserve">in coerenza con le linee guida contenute nell’allegato della decisione </w:t>
      </w:r>
      <w:r>
        <w:rPr>
          <w:rFonts w:ascii="Arial" w:eastAsia="Calibri" w:hAnsi="Arial" w:cs="Tahoma"/>
          <w:sz w:val="20"/>
        </w:rPr>
        <w:t>C</w:t>
      </w:r>
      <w:r w:rsidRPr="00816B8E">
        <w:rPr>
          <w:rFonts w:ascii="Arial" w:eastAsia="Calibri" w:hAnsi="Arial" w:cs="Tahoma"/>
          <w:sz w:val="20"/>
        </w:rPr>
        <w:t xml:space="preserve"> (2019) 3452 </w:t>
      </w:r>
      <w:proofErr w:type="spellStart"/>
      <w:r w:rsidRPr="00816B8E">
        <w:rPr>
          <w:rFonts w:ascii="Arial" w:eastAsia="Calibri" w:hAnsi="Arial" w:cs="Tahoma"/>
          <w:i/>
          <w:iCs/>
          <w:sz w:val="20"/>
        </w:rPr>
        <w:t>final</w:t>
      </w:r>
      <w:proofErr w:type="spellEnd"/>
      <w:r w:rsidRPr="00816B8E">
        <w:rPr>
          <w:rFonts w:ascii="Arial" w:eastAsia="Calibri" w:hAnsi="Arial" w:cs="Tahoma"/>
          <w:i/>
          <w:iCs/>
          <w:sz w:val="20"/>
        </w:rPr>
        <w:t xml:space="preserve"> </w:t>
      </w:r>
      <w:r w:rsidRPr="00816B8E">
        <w:rPr>
          <w:rFonts w:ascii="Arial" w:eastAsia="Calibri" w:hAnsi="Arial" w:cs="Tahoma"/>
          <w:sz w:val="20"/>
        </w:rPr>
        <w:t>del 14 maggio 2019</w:t>
      </w:r>
      <w:r>
        <w:rPr>
          <w:rFonts w:ascii="Arial" w:eastAsia="Calibri" w:hAnsi="Arial" w:cs="Tahoma"/>
          <w:sz w:val="20"/>
        </w:rPr>
        <w:t xml:space="preserve"> </w:t>
      </w:r>
    </w:p>
    <w:p w14:paraId="597D95CB" w14:textId="2F7BE2D7" w:rsidR="00276594" w:rsidRDefault="00276594" w:rsidP="00010D29">
      <w:pPr>
        <w:pBdr>
          <w:top w:val="single" w:sz="4" w:space="1" w:color="auto"/>
          <w:left w:val="single" w:sz="4" w:space="1" w:color="auto"/>
          <w:bottom w:val="single" w:sz="4" w:space="1" w:color="auto"/>
          <w:right w:val="single" w:sz="4" w:space="1" w:color="auto"/>
        </w:pBdr>
        <w:spacing w:line="360" w:lineRule="auto"/>
        <w:contextualSpacing/>
        <w:jc w:val="center"/>
        <w:rPr>
          <w:rFonts w:ascii="Arial" w:hAnsi="Arial" w:cs="Arial"/>
          <w:b/>
          <w:sz w:val="24"/>
          <w:szCs w:val="24"/>
          <w:u w:val="single"/>
        </w:rPr>
      </w:pPr>
      <w:r w:rsidRPr="00276594">
        <w:rPr>
          <w:rFonts w:ascii="Arial" w:hAnsi="Arial" w:cs="Arial"/>
          <w:b/>
          <w:sz w:val="24"/>
          <w:szCs w:val="24"/>
          <w:u w:val="single"/>
        </w:rPr>
        <w:t>L</w:t>
      </w:r>
      <w:r w:rsidR="007E436D" w:rsidRPr="00276594">
        <w:rPr>
          <w:rFonts w:ascii="Arial" w:hAnsi="Arial" w:cs="Arial"/>
          <w:b/>
          <w:sz w:val="24"/>
          <w:szCs w:val="24"/>
          <w:u w:val="single"/>
        </w:rPr>
        <w:t>inee guida</w:t>
      </w:r>
      <w:r w:rsidR="007E436D">
        <w:rPr>
          <w:rFonts w:ascii="Arial" w:hAnsi="Arial" w:cs="Arial"/>
          <w:b/>
          <w:sz w:val="24"/>
          <w:szCs w:val="24"/>
          <w:u w:val="single"/>
        </w:rPr>
        <w:t xml:space="preserve"> per l’</w:t>
      </w:r>
      <w:r w:rsidR="00010D29" w:rsidRPr="000D301C">
        <w:rPr>
          <w:rFonts w:ascii="Arial" w:hAnsi="Arial" w:cs="Arial"/>
          <w:b/>
          <w:sz w:val="24"/>
          <w:szCs w:val="24"/>
          <w:u w:val="single"/>
        </w:rPr>
        <w:t xml:space="preserve">applicazione </w:t>
      </w:r>
      <w:r>
        <w:rPr>
          <w:rFonts w:ascii="Arial" w:hAnsi="Arial" w:cs="Arial"/>
          <w:b/>
          <w:sz w:val="24"/>
          <w:szCs w:val="24"/>
          <w:u w:val="single"/>
        </w:rPr>
        <w:t xml:space="preserve">del </w:t>
      </w:r>
      <w:r w:rsidR="00010D29" w:rsidRPr="000D301C">
        <w:rPr>
          <w:rFonts w:ascii="Arial" w:hAnsi="Arial" w:cs="Arial"/>
          <w:b/>
          <w:sz w:val="24"/>
          <w:szCs w:val="24"/>
          <w:u w:val="single"/>
        </w:rPr>
        <w:t xml:space="preserve">quadro sanzionatorio </w:t>
      </w:r>
    </w:p>
    <w:p w14:paraId="701CFD2B" w14:textId="406A14C9" w:rsidR="00010D29" w:rsidRPr="00010D29" w:rsidRDefault="00010D29" w:rsidP="00010D29">
      <w:pPr>
        <w:pBdr>
          <w:top w:val="single" w:sz="4" w:space="1" w:color="auto"/>
          <w:left w:val="single" w:sz="4" w:space="1" w:color="auto"/>
          <w:bottom w:val="single" w:sz="4" w:space="1" w:color="auto"/>
          <w:right w:val="single" w:sz="4" w:space="1" w:color="auto"/>
        </w:pBdr>
        <w:spacing w:line="360" w:lineRule="auto"/>
        <w:contextualSpacing/>
        <w:jc w:val="center"/>
        <w:rPr>
          <w:rFonts w:ascii="Arial" w:hAnsi="Arial" w:cs="Arial"/>
          <w:b/>
          <w:sz w:val="24"/>
          <w:szCs w:val="24"/>
          <w:u w:val="single"/>
        </w:rPr>
      </w:pPr>
      <w:r w:rsidRPr="000D301C">
        <w:rPr>
          <w:rFonts w:ascii="Arial" w:hAnsi="Arial" w:cs="Arial"/>
          <w:b/>
          <w:sz w:val="24"/>
          <w:szCs w:val="24"/>
          <w:u w:val="single"/>
        </w:rPr>
        <w:t xml:space="preserve">associato alla checklist </w:t>
      </w:r>
      <w:r w:rsidR="00276594">
        <w:rPr>
          <w:rFonts w:ascii="Arial" w:hAnsi="Arial" w:cs="Arial"/>
          <w:b/>
          <w:sz w:val="24"/>
          <w:szCs w:val="24"/>
          <w:u w:val="single"/>
        </w:rPr>
        <w:t xml:space="preserve">appalti </w:t>
      </w:r>
      <w:proofErr w:type="spellStart"/>
      <w:r w:rsidRPr="000D301C">
        <w:rPr>
          <w:rFonts w:ascii="Arial" w:hAnsi="Arial" w:cs="Arial"/>
          <w:b/>
          <w:sz w:val="24"/>
          <w:szCs w:val="24"/>
          <w:u w:val="single"/>
        </w:rPr>
        <w:t>vers</w:t>
      </w:r>
      <w:proofErr w:type="spellEnd"/>
      <w:r w:rsidRPr="000D301C">
        <w:rPr>
          <w:rFonts w:ascii="Arial" w:hAnsi="Arial" w:cs="Arial"/>
          <w:b/>
          <w:sz w:val="24"/>
          <w:szCs w:val="24"/>
          <w:u w:val="single"/>
        </w:rPr>
        <w:t xml:space="preserve"> 3.1</w:t>
      </w:r>
    </w:p>
    <w:p w14:paraId="4334EBA5" w14:textId="77777777" w:rsidR="000D301C" w:rsidRPr="000D301C" w:rsidRDefault="000D301C" w:rsidP="000D301C">
      <w:pPr>
        <w:spacing w:line="360" w:lineRule="auto"/>
        <w:contextualSpacing/>
        <w:jc w:val="both"/>
        <w:rPr>
          <w:rFonts w:ascii="Arial" w:hAnsi="Arial" w:cs="Arial"/>
          <w:b/>
        </w:rPr>
      </w:pPr>
    </w:p>
    <w:p w14:paraId="6040E07F" w14:textId="6D214B91" w:rsidR="000D301C" w:rsidRPr="00010D29" w:rsidRDefault="000D301C" w:rsidP="00010D29">
      <w:pPr>
        <w:pStyle w:val="Paragrafoelenco"/>
        <w:numPr>
          <w:ilvl w:val="0"/>
          <w:numId w:val="3"/>
        </w:numPr>
        <w:spacing w:line="360" w:lineRule="auto"/>
        <w:jc w:val="both"/>
        <w:rPr>
          <w:rFonts w:ascii="Arial" w:hAnsi="Arial" w:cs="Arial"/>
          <w:b/>
        </w:rPr>
      </w:pPr>
      <w:r w:rsidRPr="00010D29">
        <w:rPr>
          <w:rFonts w:ascii="Arial" w:hAnsi="Arial" w:cs="Arial"/>
          <w:b/>
        </w:rPr>
        <w:t xml:space="preserve">Finalità del documento </w:t>
      </w:r>
    </w:p>
    <w:p w14:paraId="33F153E2" w14:textId="77777777" w:rsidR="000D301C" w:rsidRPr="000D301C" w:rsidRDefault="000D301C" w:rsidP="000D301C">
      <w:pPr>
        <w:spacing w:line="360" w:lineRule="auto"/>
        <w:contextualSpacing/>
        <w:jc w:val="both"/>
        <w:rPr>
          <w:rFonts w:ascii="Arial" w:hAnsi="Arial" w:cs="Arial"/>
        </w:rPr>
      </w:pPr>
      <w:r w:rsidRPr="000D301C">
        <w:rPr>
          <w:rFonts w:ascii="Arial" w:hAnsi="Arial" w:cs="Arial"/>
        </w:rPr>
        <w:t xml:space="preserve">Le tabelle predisposte a partire dalla versione 3.1 della checklist appalti, sono strumenti di lavoro finalizzati a effettuare i controlli sulle procedure di gara affidate ai sensi della normativa europea e nazionale in materia di contratti pubblici, propedeutici all’eventuale applicazione del quadro sanzionatorio e delle conseguenti riduzioni ed esclusioni. </w:t>
      </w:r>
    </w:p>
    <w:p w14:paraId="4C2BE695" w14:textId="77777777" w:rsidR="000D301C" w:rsidRPr="000D301C" w:rsidRDefault="000D301C" w:rsidP="000D301C">
      <w:pPr>
        <w:spacing w:line="360" w:lineRule="auto"/>
        <w:contextualSpacing/>
        <w:jc w:val="both"/>
        <w:rPr>
          <w:rFonts w:ascii="Arial" w:hAnsi="Arial" w:cs="Arial"/>
          <w:b/>
        </w:rPr>
      </w:pPr>
    </w:p>
    <w:p w14:paraId="4B39C808" w14:textId="48D23A90" w:rsidR="000D301C" w:rsidRPr="00010D29" w:rsidRDefault="000D301C" w:rsidP="00010D29">
      <w:pPr>
        <w:pStyle w:val="Paragrafoelenco"/>
        <w:numPr>
          <w:ilvl w:val="0"/>
          <w:numId w:val="3"/>
        </w:numPr>
        <w:spacing w:line="360" w:lineRule="auto"/>
        <w:jc w:val="both"/>
        <w:rPr>
          <w:rFonts w:ascii="Arial" w:hAnsi="Arial" w:cs="Arial"/>
          <w:b/>
        </w:rPr>
      </w:pPr>
      <w:r w:rsidRPr="00010D29">
        <w:rPr>
          <w:rFonts w:ascii="Arial" w:hAnsi="Arial" w:cs="Arial"/>
          <w:b/>
        </w:rPr>
        <w:t>Struttura delle tabelle</w:t>
      </w:r>
    </w:p>
    <w:p w14:paraId="02BBB5F3" w14:textId="77777777" w:rsidR="000D301C" w:rsidRPr="000D301C" w:rsidRDefault="000D301C" w:rsidP="000D301C">
      <w:pPr>
        <w:spacing w:line="360" w:lineRule="auto"/>
        <w:contextualSpacing/>
        <w:jc w:val="both"/>
        <w:rPr>
          <w:rFonts w:ascii="Arial" w:hAnsi="Arial" w:cs="Arial"/>
        </w:rPr>
      </w:pPr>
      <w:r w:rsidRPr="000D301C">
        <w:rPr>
          <w:rFonts w:ascii="Arial" w:hAnsi="Arial" w:cs="Arial"/>
        </w:rPr>
        <w:t>La struttura delle tabelle è articolata in 4 colonne:</w:t>
      </w:r>
    </w:p>
    <w:p w14:paraId="763FD2FD" w14:textId="77777777" w:rsidR="000D301C" w:rsidRPr="000D301C" w:rsidRDefault="000D301C" w:rsidP="000D301C">
      <w:pPr>
        <w:pStyle w:val="Paragrafoelenco"/>
        <w:numPr>
          <w:ilvl w:val="0"/>
          <w:numId w:val="1"/>
        </w:numPr>
        <w:spacing w:line="360" w:lineRule="auto"/>
        <w:jc w:val="both"/>
        <w:rPr>
          <w:rFonts w:ascii="Arial" w:hAnsi="Arial" w:cs="Arial"/>
        </w:rPr>
      </w:pPr>
      <w:r w:rsidRPr="000D301C">
        <w:rPr>
          <w:rFonts w:ascii="Arial" w:hAnsi="Arial" w:cs="Arial"/>
          <w:b/>
          <w:bCs/>
        </w:rPr>
        <w:t>Descrizione</w:t>
      </w:r>
      <w:r w:rsidRPr="000D301C">
        <w:rPr>
          <w:rFonts w:ascii="Arial" w:hAnsi="Arial" w:cs="Arial"/>
        </w:rPr>
        <w:t>: indica la voce di controllo, cioè l’adempimento da verificare derivante dalla versione 3.1 della checklist appalti;</w:t>
      </w:r>
    </w:p>
    <w:p w14:paraId="098E1818" w14:textId="77777777" w:rsidR="000D301C" w:rsidRPr="000D301C" w:rsidRDefault="000D301C" w:rsidP="000D301C">
      <w:pPr>
        <w:pStyle w:val="Paragrafoelenco"/>
        <w:numPr>
          <w:ilvl w:val="0"/>
          <w:numId w:val="1"/>
        </w:numPr>
        <w:spacing w:line="360" w:lineRule="auto"/>
        <w:jc w:val="both"/>
        <w:rPr>
          <w:rFonts w:ascii="Arial" w:hAnsi="Arial" w:cs="Arial"/>
        </w:rPr>
      </w:pPr>
      <w:r w:rsidRPr="000D301C">
        <w:rPr>
          <w:rFonts w:ascii="Arial" w:hAnsi="Arial" w:cs="Arial"/>
          <w:b/>
          <w:bCs/>
        </w:rPr>
        <w:t>Riferimenti normativi</w:t>
      </w:r>
      <w:r w:rsidRPr="000D301C">
        <w:rPr>
          <w:rFonts w:ascii="Arial" w:hAnsi="Arial" w:cs="Arial"/>
        </w:rPr>
        <w:t>: indica il riferimento normativo o amministrativo che stabilisce e disciplina l’adempimento oggetto di verifica;</w:t>
      </w:r>
    </w:p>
    <w:p w14:paraId="2B3F1594" w14:textId="77777777" w:rsidR="000D301C" w:rsidRPr="000D301C" w:rsidRDefault="000D301C" w:rsidP="000D301C">
      <w:pPr>
        <w:pStyle w:val="Paragrafoelenco"/>
        <w:numPr>
          <w:ilvl w:val="0"/>
          <w:numId w:val="1"/>
        </w:numPr>
        <w:spacing w:line="360" w:lineRule="auto"/>
        <w:jc w:val="both"/>
        <w:rPr>
          <w:rFonts w:ascii="Arial" w:hAnsi="Arial" w:cs="Arial"/>
        </w:rPr>
      </w:pPr>
      <w:r w:rsidRPr="000D301C">
        <w:rPr>
          <w:rFonts w:ascii="Arial" w:hAnsi="Arial" w:cs="Arial"/>
          <w:b/>
          <w:bCs/>
        </w:rPr>
        <w:t>Rif. codice irregolarità decisione UE</w:t>
      </w:r>
      <w:r w:rsidRPr="000D301C">
        <w:rPr>
          <w:rFonts w:ascii="Arial" w:hAnsi="Arial" w:cs="Arial"/>
        </w:rPr>
        <w:t xml:space="preserve">: indica il codice di irregolarità stabilito dalla decisione della Commissione europea di riferimento – per la vers. 3.1., la Decisione C (2019) 3452 </w:t>
      </w:r>
      <w:proofErr w:type="spellStart"/>
      <w:r w:rsidRPr="000D301C">
        <w:rPr>
          <w:rFonts w:ascii="Arial" w:hAnsi="Arial" w:cs="Arial"/>
        </w:rPr>
        <w:t>final</w:t>
      </w:r>
      <w:proofErr w:type="spellEnd"/>
      <w:r w:rsidRPr="000D301C">
        <w:rPr>
          <w:rFonts w:ascii="Arial" w:hAnsi="Arial" w:cs="Arial"/>
        </w:rPr>
        <w:t xml:space="preserve"> del 14 maggio 2019 – associabile espressamente o per analogia all’adempimento oggetto di verifica</w:t>
      </w:r>
    </w:p>
    <w:p w14:paraId="2E2BA5D5" w14:textId="77777777" w:rsidR="000D301C" w:rsidRDefault="000D301C" w:rsidP="000D301C">
      <w:pPr>
        <w:pStyle w:val="Paragrafoelenco"/>
        <w:numPr>
          <w:ilvl w:val="0"/>
          <w:numId w:val="1"/>
        </w:numPr>
        <w:spacing w:line="360" w:lineRule="auto"/>
        <w:jc w:val="both"/>
        <w:rPr>
          <w:rFonts w:ascii="Arial" w:hAnsi="Arial" w:cs="Arial"/>
        </w:rPr>
      </w:pPr>
      <w:r w:rsidRPr="000D301C">
        <w:rPr>
          <w:rFonts w:ascii="Arial" w:hAnsi="Arial" w:cs="Arial"/>
          <w:b/>
          <w:bCs/>
        </w:rPr>
        <w:t>% di riduzione applicabile</w:t>
      </w:r>
      <w:r w:rsidRPr="000D301C">
        <w:rPr>
          <w:rFonts w:ascii="Arial" w:hAnsi="Arial" w:cs="Arial"/>
        </w:rPr>
        <w:t xml:space="preserve">: indica la riduzione finanziaria applicabile in caso di irregolarità, prevista direttamente dalla decisione della Commissione europea per la specifica fattispecie, ovvero desunta in via analogica da fattispecie simili. </w:t>
      </w:r>
    </w:p>
    <w:p w14:paraId="68764439" w14:textId="77777777" w:rsidR="00010D29" w:rsidRPr="000D301C" w:rsidRDefault="00010D29" w:rsidP="00010D29">
      <w:pPr>
        <w:pStyle w:val="Paragrafoelenco"/>
        <w:spacing w:line="360" w:lineRule="auto"/>
        <w:jc w:val="both"/>
        <w:rPr>
          <w:rFonts w:ascii="Arial" w:hAnsi="Arial" w:cs="Arial"/>
        </w:rPr>
      </w:pPr>
    </w:p>
    <w:p w14:paraId="5B85B8C4" w14:textId="0ABB0131" w:rsidR="000D301C" w:rsidRPr="00010D29" w:rsidRDefault="000D301C" w:rsidP="00010D29">
      <w:pPr>
        <w:pStyle w:val="Paragrafoelenco"/>
        <w:numPr>
          <w:ilvl w:val="0"/>
          <w:numId w:val="3"/>
        </w:numPr>
        <w:spacing w:line="360" w:lineRule="auto"/>
        <w:jc w:val="both"/>
        <w:rPr>
          <w:rFonts w:ascii="Arial" w:hAnsi="Arial" w:cs="Arial"/>
          <w:b/>
        </w:rPr>
      </w:pPr>
      <w:r w:rsidRPr="00010D29">
        <w:rPr>
          <w:rFonts w:ascii="Arial" w:hAnsi="Arial" w:cs="Arial"/>
          <w:b/>
        </w:rPr>
        <w:t xml:space="preserve">Indice e modalità di utilizzo delle check list </w:t>
      </w:r>
    </w:p>
    <w:p w14:paraId="340E0F9F" w14:textId="195A9157" w:rsidR="000D301C" w:rsidRPr="000D301C" w:rsidRDefault="000D301C" w:rsidP="000D301C">
      <w:pPr>
        <w:spacing w:line="360" w:lineRule="auto"/>
        <w:jc w:val="both"/>
        <w:rPr>
          <w:rFonts w:ascii="Arial" w:hAnsi="Arial" w:cs="Arial"/>
        </w:rPr>
      </w:pPr>
      <w:r w:rsidRPr="000D301C">
        <w:rPr>
          <w:rFonts w:ascii="Arial" w:hAnsi="Arial" w:cs="Arial"/>
        </w:rPr>
        <w:t xml:space="preserve">Il set completo delle </w:t>
      </w:r>
      <w:r w:rsidR="00276594">
        <w:rPr>
          <w:rFonts w:ascii="Arial" w:hAnsi="Arial" w:cs="Arial"/>
        </w:rPr>
        <w:t>tabelle aggregate nel documento allegato</w:t>
      </w:r>
      <w:r w:rsidRPr="000D301C">
        <w:rPr>
          <w:rFonts w:ascii="Arial" w:hAnsi="Arial" w:cs="Arial"/>
        </w:rPr>
        <w:t xml:space="preserve"> è così organizzato:</w:t>
      </w:r>
    </w:p>
    <w:p w14:paraId="1A7A0721" w14:textId="2DB30928" w:rsidR="000D301C" w:rsidRPr="000D301C" w:rsidRDefault="000D301C" w:rsidP="000D301C">
      <w:pPr>
        <w:pStyle w:val="Paragrafoelenco"/>
        <w:numPr>
          <w:ilvl w:val="0"/>
          <w:numId w:val="2"/>
        </w:numPr>
        <w:spacing w:after="160" w:line="259" w:lineRule="auto"/>
        <w:rPr>
          <w:rFonts w:ascii="Arial" w:eastAsia="Calibri" w:hAnsi="Arial" w:cs="Arial"/>
        </w:rPr>
      </w:pPr>
      <w:r w:rsidRPr="000D301C">
        <w:rPr>
          <w:rFonts w:ascii="Arial" w:eastAsia="Calibri" w:hAnsi="Arial" w:cs="Arial"/>
        </w:rPr>
        <w:t xml:space="preserve">Check list 1: </w:t>
      </w:r>
      <w:r w:rsidR="00276594">
        <w:rPr>
          <w:rFonts w:ascii="Arial" w:eastAsia="Calibri" w:hAnsi="Arial" w:cs="Arial"/>
        </w:rPr>
        <w:t>A</w:t>
      </w:r>
      <w:r w:rsidRPr="000D301C">
        <w:rPr>
          <w:rFonts w:ascii="Arial" w:eastAsia="Calibri" w:hAnsi="Arial" w:cs="Arial"/>
        </w:rPr>
        <w:t>dempimenti generali della procedura di affidamento</w:t>
      </w:r>
    </w:p>
    <w:p w14:paraId="56703196" w14:textId="77777777" w:rsidR="000D301C" w:rsidRPr="000D301C" w:rsidRDefault="000D301C" w:rsidP="000D301C">
      <w:pPr>
        <w:pStyle w:val="Paragrafoelenco"/>
        <w:numPr>
          <w:ilvl w:val="0"/>
          <w:numId w:val="2"/>
        </w:numPr>
        <w:spacing w:after="160" w:line="259" w:lineRule="auto"/>
        <w:rPr>
          <w:rFonts w:ascii="Arial" w:eastAsia="Calibri" w:hAnsi="Arial" w:cs="Arial"/>
        </w:rPr>
      </w:pPr>
      <w:r w:rsidRPr="000D301C">
        <w:rPr>
          <w:rFonts w:ascii="Arial" w:eastAsia="Calibri" w:hAnsi="Arial" w:cs="Arial"/>
        </w:rPr>
        <w:t>Check list 2: Programmazione</w:t>
      </w:r>
    </w:p>
    <w:p w14:paraId="292B34F7" w14:textId="61C6732A" w:rsidR="000D301C" w:rsidRPr="000D301C" w:rsidRDefault="000D301C" w:rsidP="000D301C">
      <w:pPr>
        <w:pStyle w:val="Paragrafoelenco"/>
        <w:numPr>
          <w:ilvl w:val="0"/>
          <w:numId w:val="2"/>
        </w:numPr>
        <w:tabs>
          <w:tab w:val="left" w:pos="2730"/>
        </w:tabs>
        <w:spacing w:after="160" w:line="259" w:lineRule="auto"/>
        <w:rPr>
          <w:rFonts w:ascii="Arial" w:eastAsia="Calibri" w:hAnsi="Arial" w:cs="Arial"/>
        </w:rPr>
      </w:pPr>
      <w:r w:rsidRPr="000D301C">
        <w:rPr>
          <w:rFonts w:ascii="Arial" w:eastAsia="Calibri" w:hAnsi="Arial" w:cs="Arial"/>
        </w:rPr>
        <w:t>Che</w:t>
      </w:r>
      <w:r>
        <w:rPr>
          <w:rFonts w:ascii="Arial" w:eastAsia="Calibri" w:hAnsi="Arial" w:cs="Arial"/>
        </w:rPr>
        <w:t>c</w:t>
      </w:r>
      <w:r w:rsidRPr="000D301C">
        <w:rPr>
          <w:rFonts w:ascii="Arial" w:eastAsia="Calibri" w:hAnsi="Arial" w:cs="Arial"/>
        </w:rPr>
        <w:t>k list 3: Progettazione</w:t>
      </w:r>
      <w:r w:rsidRPr="000D301C">
        <w:rPr>
          <w:rFonts w:ascii="Arial" w:eastAsia="Calibri" w:hAnsi="Arial" w:cs="Arial"/>
        </w:rPr>
        <w:tab/>
      </w:r>
    </w:p>
    <w:p w14:paraId="63C8D8F7" w14:textId="0185AAD8" w:rsidR="000D301C" w:rsidRPr="000D301C" w:rsidRDefault="000D301C" w:rsidP="000D301C">
      <w:pPr>
        <w:pStyle w:val="Paragrafoelenco"/>
        <w:numPr>
          <w:ilvl w:val="0"/>
          <w:numId w:val="2"/>
        </w:numPr>
        <w:spacing w:after="160" w:line="259" w:lineRule="auto"/>
        <w:rPr>
          <w:rFonts w:ascii="Arial" w:eastAsia="Calibri" w:hAnsi="Arial" w:cs="Arial"/>
        </w:rPr>
      </w:pPr>
      <w:r w:rsidRPr="000D301C">
        <w:rPr>
          <w:rFonts w:ascii="Arial" w:eastAsia="Calibri" w:hAnsi="Arial" w:cs="Arial"/>
        </w:rPr>
        <w:t xml:space="preserve">Check list </w:t>
      </w:r>
      <w:r w:rsidR="00276594">
        <w:rPr>
          <w:rFonts w:ascii="Arial" w:eastAsia="Calibri" w:hAnsi="Arial" w:cs="Arial"/>
        </w:rPr>
        <w:t>4</w:t>
      </w:r>
      <w:r w:rsidRPr="000D301C">
        <w:rPr>
          <w:rFonts w:ascii="Arial" w:eastAsia="Calibri" w:hAnsi="Arial" w:cs="Arial"/>
        </w:rPr>
        <w:t>: Esecuzione</w:t>
      </w:r>
    </w:p>
    <w:p w14:paraId="2B385F76" w14:textId="635C67A2" w:rsidR="000D301C" w:rsidRPr="000D301C" w:rsidRDefault="000D301C" w:rsidP="000D301C">
      <w:pPr>
        <w:pStyle w:val="Paragrafoelenco"/>
        <w:numPr>
          <w:ilvl w:val="0"/>
          <w:numId w:val="2"/>
        </w:numPr>
        <w:spacing w:after="160" w:line="259" w:lineRule="auto"/>
        <w:rPr>
          <w:rFonts w:ascii="Arial" w:eastAsia="Calibri" w:hAnsi="Arial" w:cs="Arial"/>
        </w:rPr>
      </w:pPr>
      <w:r w:rsidRPr="000D301C">
        <w:rPr>
          <w:rFonts w:ascii="Arial" w:eastAsia="Calibri" w:hAnsi="Arial" w:cs="Arial"/>
        </w:rPr>
        <w:t xml:space="preserve">Check list </w:t>
      </w:r>
      <w:r w:rsidR="00276594">
        <w:rPr>
          <w:rFonts w:ascii="Arial" w:eastAsia="Calibri" w:hAnsi="Arial" w:cs="Arial"/>
        </w:rPr>
        <w:t>5</w:t>
      </w:r>
      <w:r w:rsidRPr="000D301C">
        <w:rPr>
          <w:rFonts w:ascii="Arial" w:eastAsia="Calibri" w:hAnsi="Arial" w:cs="Arial"/>
        </w:rPr>
        <w:t xml:space="preserve">: Affidamenti sotto-soglia </w:t>
      </w:r>
    </w:p>
    <w:p w14:paraId="2CB302A4" w14:textId="1414DC43" w:rsidR="000D301C" w:rsidRPr="000D301C" w:rsidRDefault="000D301C" w:rsidP="000D301C">
      <w:pPr>
        <w:pStyle w:val="Paragrafoelenco"/>
        <w:numPr>
          <w:ilvl w:val="0"/>
          <w:numId w:val="2"/>
        </w:numPr>
        <w:spacing w:after="160" w:line="259" w:lineRule="auto"/>
        <w:rPr>
          <w:rFonts w:ascii="Arial" w:eastAsia="Calibri" w:hAnsi="Arial" w:cs="Arial"/>
        </w:rPr>
      </w:pPr>
      <w:r w:rsidRPr="000D301C">
        <w:rPr>
          <w:rFonts w:ascii="Arial" w:eastAsia="Calibri" w:hAnsi="Arial" w:cs="Arial"/>
        </w:rPr>
        <w:lastRenderedPageBreak/>
        <w:t xml:space="preserve">Check list </w:t>
      </w:r>
      <w:r w:rsidR="00276594">
        <w:rPr>
          <w:rFonts w:ascii="Arial" w:eastAsia="Calibri" w:hAnsi="Arial" w:cs="Arial"/>
        </w:rPr>
        <w:t>6</w:t>
      </w:r>
      <w:r w:rsidRPr="000D301C">
        <w:rPr>
          <w:rFonts w:ascii="Arial" w:eastAsia="Calibri" w:hAnsi="Arial" w:cs="Arial"/>
        </w:rPr>
        <w:t>: Mercati elettronici</w:t>
      </w:r>
    </w:p>
    <w:p w14:paraId="6A792012" w14:textId="228B7A1E" w:rsidR="000D301C" w:rsidRPr="000D301C" w:rsidRDefault="000D301C" w:rsidP="000D301C">
      <w:pPr>
        <w:pStyle w:val="Paragrafoelenco"/>
        <w:numPr>
          <w:ilvl w:val="0"/>
          <w:numId w:val="2"/>
        </w:numPr>
        <w:spacing w:after="160" w:line="259" w:lineRule="auto"/>
        <w:rPr>
          <w:rFonts w:ascii="Arial" w:eastAsia="Calibri" w:hAnsi="Arial" w:cs="Arial"/>
        </w:rPr>
      </w:pPr>
      <w:r w:rsidRPr="000D301C">
        <w:rPr>
          <w:rFonts w:ascii="Arial" w:eastAsia="Calibri" w:hAnsi="Arial" w:cs="Arial"/>
        </w:rPr>
        <w:t xml:space="preserve">Check list </w:t>
      </w:r>
      <w:r w:rsidR="00276594">
        <w:rPr>
          <w:rFonts w:ascii="Arial" w:eastAsia="Calibri" w:hAnsi="Arial" w:cs="Arial"/>
        </w:rPr>
        <w:t>7</w:t>
      </w:r>
      <w:r w:rsidRPr="000D301C">
        <w:rPr>
          <w:rFonts w:ascii="Arial" w:eastAsia="Calibri" w:hAnsi="Arial" w:cs="Arial"/>
        </w:rPr>
        <w:t>: Procedura aperta</w:t>
      </w:r>
    </w:p>
    <w:p w14:paraId="43D05238" w14:textId="1C21AB23" w:rsidR="000D301C" w:rsidRPr="000D301C" w:rsidRDefault="000D301C" w:rsidP="000D301C">
      <w:pPr>
        <w:pStyle w:val="Paragrafoelenco"/>
        <w:numPr>
          <w:ilvl w:val="0"/>
          <w:numId w:val="2"/>
        </w:numPr>
        <w:spacing w:after="160" w:line="259" w:lineRule="auto"/>
        <w:rPr>
          <w:rFonts w:ascii="Arial" w:eastAsia="Calibri" w:hAnsi="Arial" w:cs="Arial"/>
        </w:rPr>
      </w:pPr>
      <w:r w:rsidRPr="000D301C">
        <w:rPr>
          <w:rFonts w:ascii="Arial" w:eastAsia="Calibri" w:hAnsi="Arial" w:cs="Arial"/>
        </w:rPr>
        <w:t xml:space="preserve">Check list </w:t>
      </w:r>
      <w:r w:rsidR="00276594">
        <w:rPr>
          <w:rFonts w:ascii="Arial" w:eastAsia="Calibri" w:hAnsi="Arial" w:cs="Arial"/>
        </w:rPr>
        <w:t>8</w:t>
      </w:r>
      <w:r w:rsidRPr="000D301C">
        <w:rPr>
          <w:rFonts w:ascii="Arial" w:eastAsia="Calibri" w:hAnsi="Arial" w:cs="Arial"/>
        </w:rPr>
        <w:t>: Procedura ristretta</w:t>
      </w:r>
    </w:p>
    <w:p w14:paraId="29EEF59A" w14:textId="70CA2DB1" w:rsidR="000D301C" w:rsidRPr="000D301C" w:rsidRDefault="000D301C" w:rsidP="000D301C">
      <w:pPr>
        <w:pStyle w:val="Paragrafoelenco"/>
        <w:numPr>
          <w:ilvl w:val="0"/>
          <w:numId w:val="2"/>
        </w:numPr>
        <w:spacing w:after="160" w:line="259" w:lineRule="auto"/>
        <w:rPr>
          <w:rFonts w:ascii="Arial" w:eastAsia="Calibri" w:hAnsi="Arial" w:cs="Arial"/>
        </w:rPr>
      </w:pPr>
      <w:r w:rsidRPr="000D301C">
        <w:rPr>
          <w:rFonts w:ascii="Arial" w:eastAsia="Calibri" w:hAnsi="Arial" w:cs="Arial"/>
        </w:rPr>
        <w:t xml:space="preserve">Check list </w:t>
      </w:r>
      <w:r w:rsidR="00276594">
        <w:rPr>
          <w:rFonts w:ascii="Arial" w:eastAsia="Calibri" w:hAnsi="Arial" w:cs="Arial"/>
        </w:rPr>
        <w:t>9</w:t>
      </w:r>
      <w:r w:rsidRPr="000D301C">
        <w:rPr>
          <w:rFonts w:ascii="Arial" w:eastAsia="Calibri" w:hAnsi="Arial" w:cs="Arial"/>
        </w:rPr>
        <w:t>: Procedura competitiva con negoziazione</w:t>
      </w:r>
    </w:p>
    <w:p w14:paraId="4F50E4D1" w14:textId="5738BCA8" w:rsidR="000D301C" w:rsidRPr="000D301C" w:rsidRDefault="000D301C" w:rsidP="000D301C">
      <w:pPr>
        <w:pStyle w:val="Paragrafoelenco"/>
        <w:numPr>
          <w:ilvl w:val="0"/>
          <w:numId w:val="2"/>
        </w:numPr>
        <w:spacing w:after="160" w:line="259" w:lineRule="auto"/>
        <w:rPr>
          <w:rFonts w:ascii="Arial" w:eastAsia="Calibri" w:hAnsi="Arial" w:cs="Arial"/>
        </w:rPr>
      </w:pPr>
      <w:r w:rsidRPr="000D301C">
        <w:rPr>
          <w:rFonts w:ascii="Arial" w:eastAsia="Calibri" w:hAnsi="Arial" w:cs="Arial"/>
        </w:rPr>
        <w:t>Check list 1</w:t>
      </w:r>
      <w:r w:rsidR="00276594">
        <w:rPr>
          <w:rFonts w:ascii="Arial" w:eastAsia="Calibri" w:hAnsi="Arial" w:cs="Arial"/>
        </w:rPr>
        <w:t>0</w:t>
      </w:r>
      <w:r w:rsidRPr="000D301C">
        <w:rPr>
          <w:rFonts w:ascii="Arial" w:eastAsia="Calibri" w:hAnsi="Arial" w:cs="Arial"/>
        </w:rPr>
        <w:t>: Dialogo competitivo</w:t>
      </w:r>
    </w:p>
    <w:p w14:paraId="6D6717E4" w14:textId="7B91E49F" w:rsidR="000D301C" w:rsidRPr="000D301C" w:rsidRDefault="000D301C" w:rsidP="000D301C">
      <w:pPr>
        <w:pStyle w:val="Paragrafoelenco"/>
        <w:numPr>
          <w:ilvl w:val="0"/>
          <w:numId w:val="2"/>
        </w:numPr>
        <w:spacing w:after="160" w:line="259" w:lineRule="auto"/>
        <w:rPr>
          <w:rFonts w:ascii="Arial" w:eastAsia="Calibri" w:hAnsi="Arial" w:cs="Arial"/>
        </w:rPr>
      </w:pPr>
      <w:r w:rsidRPr="000D301C">
        <w:rPr>
          <w:rFonts w:ascii="Arial" w:eastAsia="Calibri" w:hAnsi="Arial" w:cs="Arial"/>
        </w:rPr>
        <w:t>Check list 1</w:t>
      </w:r>
      <w:r w:rsidR="00276594">
        <w:rPr>
          <w:rFonts w:ascii="Arial" w:eastAsia="Calibri" w:hAnsi="Arial" w:cs="Arial"/>
        </w:rPr>
        <w:t>1</w:t>
      </w:r>
      <w:r w:rsidRPr="000D301C">
        <w:rPr>
          <w:rFonts w:ascii="Arial" w:eastAsia="Calibri" w:hAnsi="Arial" w:cs="Arial"/>
        </w:rPr>
        <w:t>: Partenariato per l’innovazione</w:t>
      </w:r>
    </w:p>
    <w:p w14:paraId="270C6A3C" w14:textId="445770D4" w:rsidR="000D301C" w:rsidRPr="000D301C" w:rsidRDefault="000D301C" w:rsidP="000D301C">
      <w:pPr>
        <w:pStyle w:val="Paragrafoelenco"/>
        <w:numPr>
          <w:ilvl w:val="0"/>
          <w:numId w:val="2"/>
        </w:numPr>
        <w:spacing w:after="160" w:line="259" w:lineRule="auto"/>
        <w:rPr>
          <w:rFonts w:ascii="Arial" w:eastAsia="Calibri" w:hAnsi="Arial" w:cs="Arial"/>
        </w:rPr>
      </w:pPr>
      <w:r w:rsidRPr="000D301C">
        <w:rPr>
          <w:rFonts w:ascii="Arial" w:eastAsia="Calibri" w:hAnsi="Arial" w:cs="Arial"/>
        </w:rPr>
        <w:t>Check list 1</w:t>
      </w:r>
      <w:r w:rsidR="00276594">
        <w:rPr>
          <w:rFonts w:ascii="Arial" w:eastAsia="Calibri" w:hAnsi="Arial" w:cs="Arial"/>
        </w:rPr>
        <w:t>2</w:t>
      </w:r>
      <w:r w:rsidRPr="000D301C">
        <w:rPr>
          <w:rFonts w:ascii="Arial" w:eastAsia="Calibri" w:hAnsi="Arial" w:cs="Arial"/>
        </w:rPr>
        <w:t>: Procedura negoziata senza bando</w:t>
      </w:r>
    </w:p>
    <w:p w14:paraId="2254428F" w14:textId="5E0EB1AC" w:rsidR="000D301C" w:rsidRPr="00276594" w:rsidRDefault="000D301C" w:rsidP="000D301C">
      <w:pPr>
        <w:pStyle w:val="Paragrafoelenco"/>
        <w:numPr>
          <w:ilvl w:val="0"/>
          <w:numId w:val="2"/>
        </w:numPr>
        <w:spacing w:after="160" w:line="259" w:lineRule="auto"/>
        <w:rPr>
          <w:rFonts w:ascii="Arial" w:eastAsia="Calibri" w:hAnsi="Arial" w:cs="Arial"/>
          <w:lang w:val="en-GB"/>
        </w:rPr>
      </w:pPr>
      <w:r w:rsidRPr="00276594">
        <w:rPr>
          <w:rFonts w:ascii="Arial" w:eastAsia="Calibri" w:hAnsi="Arial" w:cs="Arial"/>
          <w:lang w:val="en-GB"/>
        </w:rPr>
        <w:t>Check list 1</w:t>
      </w:r>
      <w:r w:rsidR="00276594" w:rsidRPr="00276594">
        <w:rPr>
          <w:rFonts w:ascii="Arial" w:eastAsia="Calibri" w:hAnsi="Arial" w:cs="Arial"/>
          <w:lang w:val="en-GB"/>
        </w:rPr>
        <w:t>3</w:t>
      </w:r>
      <w:r w:rsidRPr="00276594">
        <w:rPr>
          <w:rFonts w:ascii="Arial" w:eastAsia="Calibri" w:hAnsi="Arial" w:cs="Arial"/>
          <w:lang w:val="en-GB"/>
        </w:rPr>
        <w:t xml:space="preserve">: </w:t>
      </w:r>
      <w:proofErr w:type="spellStart"/>
      <w:r w:rsidRPr="00276594">
        <w:rPr>
          <w:rFonts w:ascii="Arial" w:eastAsia="Calibri" w:hAnsi="Arial" w:cs="Arial"/>
          <w:lang w:val="en-GB"/>
        </w:rPr>
        <w:t>Affidamenti</w:t>
      </w:r>
      <w:proofErr w:type="spellEnd"/>
      <w:r w:rsidRPr="00276594">
        <w:rPr>
          <w:rFonts w:ascii="Arial" w:eastAsia="Calibri" w:hAnsi="Arial" w:cs="Arial"/>
          <w:lang w:val="en-GB"/>
        </w:rPr>
        <w:t xml:space="preserve"> in house</w:t>
      </w:r>
    </w:p>
    <w:p w14:paraId="158A3BB9" w14:textId="76C3A78D" w:rsidR="000D301C" w:rsidRPr="000D301C" w:rsidRDefault="000D301C" w:rsidP="000D301C">
      <w:pPr>
        <w:pStyle w:val="Paragrafoelenco"/>
        <w:numPr>
          <w:ilvl w:val="0"/>
          <w:numId w:val="2"/>
        </w:numPr>
        <w:spacing w:after="160" w:line="259" w:lineRule="auto"/>
        <w:rPr>
          <w:rFonts w:ascii="Arial" w:eastAsia="Calibri" w:hAnsi="Arial" w:cs="Arial"/>
        </w:rPr>
      </w:pPr>
      <w:r w:rsidRPr="000D301C">
        <w:rPr>
          <w:rFonts w:ascii="Arial" w:eastAsia="Calibri" w:hAnsi="Arial" w:cs="Arial"/>
        </w:rPr>
        <w:t>Check list 1</w:t>
      </w:r>
      <w:r w:rsidR="00276594">
        <w:rPr>
          <w:rFonts w:ascii="Arial" w:eastAsia="Calibri" w:hAnsi="Arial" w:cs="Arial"/>
        </w:rPr>
        <w:t>4</w:t>
      </w:r>
      <w:r w:rsidRPr="000D301C">
        <w:rPr>
          <w:rFonts w:ascii="Arial" w:eastAsia="Calibri" w:hAnsi="Arial" w:cs="Arial"/>
        </w:rPr>
        <w:t>: Accordi di cooperazione fra enti</w:t>
      </w:r>
    </w:p>
    <w:p w14:paraId="7321DE87" w14:textId="523B4461" w:rsidR="000D301C" w:rsidRPr="000D301C" w:rsidRDefault="000D301C" w:rsidP="000D301C">
      <w:pPr>
        <w:pStyle w:val="Paragrafoelenco"/>
        <w:numPr>
          <w:ilvl w:val="0"/>
          <w:numId w:val="2"/>
        </w:numPr>
        <w:spacing w:after="160" w:line="259" w:lineRule="auto"/>
        <w:rPr>
          <w:rFonts w:ascii="Arial" w:eastAsia="Calibri" w:hAnsi="Arial" w:cs="Arial"/>
        </w:rPr>
      </w:pPr>
      <w:r w:rsidRPr="000D301C">
        <w:rPr>
          <w:rFonts w:ascii="Arial" w:eastAsia="Calibri" w:hAnsi="Arial" w:cs="Arial"/>
        </w:rPr>
        <w:t>Check list 1</w:t>
      </w:r>
      <w:r w:rsidR="00276594">
        <w:rPr>
          <w:rFonts w:ascii="Arial" w:eastAsia="Calibri" w:hAnsi="Arial" w:cs="Arial"/>
        </w:rPr>
        <w:t>5</w:t>
      </w:r>
      <w:r w:rsidRPr="000D301C">
        <w:rPr>
          <w:rFonts w:ascii="Arial" w:eastAsia="Calibri" w:hAnsi="Arial" w:cs="Arial"/>
        </w:rPr>
        <w:t>: Amministrazione diretta</w:t>
      </w:r>
    </w:p>
    <w:p w14:paraId="7562D554" w14:textId="251C6AA0" w:rsidR="000D301C" w:rsidRPr="000D301C" w:rsidRDefault="004106F0" w:rsidP="000D301C">
      <w:pPr>
        <w:spacing w:line="360" w:lineRule="auto"/>
        <w:jc w:val="both"/>
        <w:rPr>
          <w:rFonts w:ascii="Arial" w:hAnsi="Arial" w:cs="Arial"/>
        </w:rPr>
      </w:pPr>
      <w:r>
        <w:rPr>
          <w:rFonts w:ascii="Arial" w:hAnsi="Arial" w:cs="Arial"/>
        </w:rPr>
        <w:t>Ai fini della determinazione delle eventuali riduzioni ed esclusioni da applicare, p</w:t>
      </w:r>
      <w:r w:rsidR="000D301C" w:rsidRPr="000D301C">
        <w:rPr>
          <w:rFonts w:ascii="Arial" w:hAnsi="Arial" w:cs="Arial"/>
        </w:rPr>
        <w:t>er ogni procedura, dovranno essere</w:t>
      </w:r>
      <w:r w:rsidR="00276594">
        <w:rPr>
          <w:rFonts w:ascii="Arial" w:hAnsi="Arial" w:cs="Arial"/>
        </w:rPr>
        <w:t xml:space="preserve"> valutate </w:t>
      </w:r>
      <w:r w:rsidR="000D301C" w:rsidRPr="000D301C">
        <w:rPr>
          <w:rFonts w:ascii="Arial" w:hAnsi="Arial" w:cs="Arial"/>
        </w:rPr>
        <w:t xml:space="preserve">le </w:t>
      </w:r>
      <w:r>
        <w:rPr>
          <w:rFonts w:ascii="Arial" w:hAnsi="Arial" w:cs="Arial"/>
        </w:rPr>
        <w:t>eventuali riduzioni connesse</w:t>
      </w:r>
      <w:r w:rsidR="000D301C" w:rsidRPr="000D301C">
        <w:rPr>
          <w:rFonts w:ascii="Arial" w:hAnsi="Arial" w:cs="Arial"/>
        </w:rPr>
        <w:t xml:space="preserve"> alle check list da 1 a </w:t>
      </w:r>
      <w:r>
        <w:rPr>
          <w:rFonts w:ascii="Arial" w:hAnsi="Arial" w:cs="Arial"/>
        </w:rPr>
        <w:t>4</w:t>
      </w:r>
      <w:r w:rsidR="000D301C" w:rsidRPr="000D301C">
        <w:rPr>
          <w:rFonts w:ascii="Arial" w:hAnsi="Arial" w:cs="Arial"/>
        </w:rPr>
        <w:t xml:space="preserve">; fra le altre check list (da </w:t>
      </w:r>
      <w:r>
        <w:rPr>
          <w:rFonts w:ascii="Arial" w:hAnsi="Arial" w:cs="Arial"/>
        </w:rPr>
        <w:t>5</w:t>
      </w:r>
      <w:r w:rsidR="000D301C" w:rsidRPr="000D301C">
        <w:rPr>
          <w:rFonts w:ascii="Arial" w:hAnsi="Arial" w:cs="Arial"/>
        </w:rPr>
        <w:t xml:space="preserve"> a 1</w:t>
      </w:r>
      <w:r>
        <w:rPr>
          <w:rFonts w:ascii="Arial" w:hAnsi="Arial" w:cs="Arial"/>
        </w:rPr>
        <w:t>5</w:t>
      </w:r>
      <w:r w:rsidR="000D301C" w:rsidRPr="000D301C">
        <w:rPr>
          <w:rFonts w:ascii="Arial" w:hAnsi="Arial" w:cs="Arial"/>
        </w:rPr>
        <w:t xml:space="preserve">), dovrà poi adottarsi solo quella corrispondente all’effettiva procedura di aggiudicazione impiegata nella fattispecie. </w:t>
      </w:r>
    </w:p>
    <w:p w14:paraId="6B9EF41E" w14:textId="65092D1E" w:rsidR="000D301C" w:rsidRPr="00010D29" w:rsidRDefault="000D301C" w:rsidP="00010D29">
      <w:pPr>
        <w:pStyle w:val="Paragrafoelenco"/>
        <w:numPr>
          <w:ilvl w:val="0"/>
          <w:numId w:val="3"/>
        </w:numPr>
        <w:spacing w:line="360" w:lineRule="auto"/>
        <w:jc w:val="both"/>
        <w:rPr>
          <w:rFonts w:ascii="Arial" w:hAnsi="Arial" w:cs="Arial"/>
          <w:b/>
        </w:rPr>
      </w:pPr>
      <w:r w:rsidRPr="00010D29">
        <w:rPr>
          <w:rFonts w:ascii="Arial" w:hAnsi="Arial" w:cs="Arial"/>
          <w:b/>
        </w:rPr>
        <w:t>Criteri per l’applicazione nel tempo delle check list</w:t>
      </w:r>
    </w:p>
    <w:p w14:paraId="4C0825CC" w14:textId="77777777" w:rsidR="000D301C" w:rsidRPr="000D301C" w:rsidRDefault="000D301C" w:rsidP="000D301C">
      <w:pPr>
        <w:spacing w:line="360" w:lineRule="auto"/>
        <w:contextualSpacing/>
        <w:jc w:val="both"/>
        <w:rPr>
          <w:rFonts w:ascii="Arial" w:hAnsi="Arial" w:cs="Arial"/>
        </w:rPr>
      </w:pPr>
      <w:r w:rsidRPr="000D301C">
        <w:rPr>
          <w:rFonts w:ascii="Arial" w:hAnsi="Arial" w:cs="Arial"/>
        </w:rPr>
        <w:t>Le check list 3.1, poiché riferite al nuovo codice dei contratti pubblici di cui al d.lgs. 36 del 2023, si applicano alle procedure avviate a decorrere dal 1° luglio 2023. Per le procedure di gara già in corso a tale data, si continuano ad applicare le check list precedenti 2.9, riferite al codice dei contratti pubblici di cui al d.lgs. 50 del 2016.</w:t>
      </w:r>
    </w:p>
    <w:p w14:paraId="6F9EE989" w14:textId="77777777" w:rsidR="000D301C" w:rsidRPr="000D301C" w:rsidRDefault="000D301C" w:rsidP="000D301C">
      <w:pPr>
        <w:spacing w:line="360" w:lineRule="auto"/>
        <w:contextualSpacing/>
        <w:jc w:val="both"/>
        <w:rPr>
          <w:rFonts w:ascii="Arial" w:hAnsi="Arial" w:cs="Arial"/>
        </w:rPr>
      </w:pPr>
      <w:r w:rsidRPr="000D301C">
        <w:rPr>
          <w:rFonts w:ascii="Arial" w:hAnsi="Arial" w:cs="Arial"/>
        </w:rPr>
        <w:t>Si ricorda che per procedimenti in corso, ai sensi dell’art. 226 del nuovo codice, s’intendono:</w:t>
      </w:r>
    </w:p>
    <w:p w14:paraId="3E721239" w14:textId="77777777" w:rsidR="000D301C" w:rsidRPr="000D301C" w:rsidRDefault="000D301C" w:rsidP="00701612">
      <w:pPr>
        <w:spacing w:line="360" w:lineRule="auto"/>
        <w:ind w:left="708"/>
        <w:contextualSpacing/>
        <w:jc w:val="both"/>
        <w:rPr>
          <w:rFonts w:ascii="Arial" w:hAnsi="Arial" w:cs="Arial"/>
        </w:rPr>
      </w:pPr>
      <w:r w:rsidRPr="000D301C">
        <w:rPr>
          <w:rFonts w:ascii="Arial" w:hAnsi="Arial" w:cs="Arial"/>
        </w:rPr>
        <w:t>a) le procedure e i contratti per i quali i bandi o avvisi con cui si indice la procedura di scelta del contraente siano stati pubblicati prima della data in cui il codice acquista efficacia;</w:t>
      </w:r>
    </w:p>
    <w:p w14:paraId="3931EC73" w14:textId="77777777" w:rsidR="000D301C" w:rsidRPr="000D301C" w:rsidRDefault="000D301C" w:rsidP="00701612">
      <w:pPr>
        <w:spacing w:line="360" w:lineRule="auto"/>
        <w:ind w:left="708"/>
        <w:contextualSpacing/>
        <w:jc w:val="both"/>
        <w:rPr>
          <w:rFonts w:ascii="Arial" w:hAnsi="Arial" w:cs="Arial"/>
        </w:rPr>
      </w:pPr>
      <w:r w:rsidRPr="000D301C">
        <w:rPr>
          <w:rFonts w:ascii="Arial" w:hAnsi="Arial" w:cs="Arial"/>
        </w:rPr>
        <w:t>b) in caso di contratti senza pubblicazione di bandi o avvisi, le procedure e i contratti in relazione ai quali, alla data in cui il codice acquista efficacia, siano stati già inviati gli avvisi a presentare le offerte;</w:t>
      </w:r>
    </w:p>
    <w:p w14:paraId="4B48C627" w14:textId="77777777" w:rsidR="000D301C" w:rsidRPr="000D301C" w:rsidRDefault="000D301C" w:rsidP="00701612">
      <w:pPr>
        <w:spacing w:line="360" w:lineRule="auto"/>
        <w:ind w:left="708"/>
        <w:contextualSpacing/>
        <w:jc w:val="both"/>
        <w:rPr>
          <w:rFonts w:ascii="Arial" w:hAnsi="Arial" w:cs="Arial"/>
        </w:rPr>
      </w:pPr>
      <w:r w:rsidRPr="000D301C">
        <w:rPr>
          <w:rFonts w:ascii="Arial" w:hAnsi="Arial" w:cs="Arial"/>
        </w:rPr>
        <w:t>c) per le opere di urbanizzazione a scomputo del contributo di costruzione, oggetto di convenzioni urbanistiche o atti assimilati comunque denominati, i procedimenti in cui le predette convenzioni o atti siano stati stipulati prima della data in cui il codice acquista efficacia;</w:t>
      </w:r>
    </w:p>
    <w:p w14:paraId="41E69FDB" w14:textId="77777777" w:rsidR="000D301C" w:rsidRPr="000D301C" w:rsidRDefault="000D301C" w:rsidP="00701612">
      <w:pPr>
        <w:spacing w:line="360" w:lineRule="auto"/>
        <w:ind w:left="708"/>
        <w:contextualSpacing/>
        <w:jc w:val="both"/>
        <w:rPr>
          <w:rFonts w:ascii="Arial" w:hAnsi="Arial" w:cs="Arial"/>
        </w:rPr>
      </w:pPr>
      <w:r w:rsidRPr="000D301C">
        <w:rPr>
          <w:rFonts w:ascii="Arial" w:hAnsi="Arial" w:cs="Arial"/>
        </w:rPr>
        <w:t>d) per le procedure di accordo bonario di cui agli articoli 210 e 211, di transazione e di arbitrato, le procedure relative a controversie aventi a oggetto contratti pubblici, per i quali i bandi o gli avvisi siano stati pubblicati prima della data in cui il codice acquista efficacia, ovvero, in caso di mancanza di pubblicazione di bandi o avvisi, gli avvisi a presentare le offerte siano stati inviati prima della suddetta data.</w:t>
      </w:r>
    </w:p>
    <w:p w14:paraId="478F7EA8" w14:textId="77777777" w:rsidR="000D301C" w:rsidRDefault="000D301C" w:rsidP="000D301C">
      <w:pPr>
        <w:spacing w:line="360" w:lineRule="auto"/>
        <w:contextualSpacing/>
        <w:jc w:val="both"/>
        <w:rPr>
          <w:rFonts w:ascii="Arial" w:hAnsi="Arial" w:cs="Arial"/>
        </w:rPr>
      </w:pPr>
    </w:p>
    <w:p w14:paraId="20D7C907" w14:textId="77777777" w:rsidR="004106F0" w:rsidRDefault="004106F0" w:rsidP="000D301C">
      <w:pPr>
        <w:spacing w:line="360" w:lineRule="auto"/>
        <w:contextualSpacing/>
        <w:jc w:val="both"/>
        <w:rPr>
          <w:rFonts w:ascii="Arial" w:hAnsi="Arial" w:cs="Arial"/>
        </w:rPr>
      </w:pPr>
    </w:p>
    <w:p w14:paraId="0BFEC43B" w14:textId="77777777" w:rsidR="004106F0" w:rsidRDefault="004106F0" w:rsidP="000D301C">
      <w:pPr>
        <w:spacing w:line="360" w:lineRule="auto"/>
        <w:contextualSpacing/>
        <w:jc w:val="both"/>
        <w:rPr>
          <w:rFonts w:ascii="Arial" w:hAnsi="Arial" w:cs="Arial"/>
        </w:rPr>
      </w:pPr>
    </w:p>
    <w:p w14:paraId="61604C25" w14:textId="77777777" w:rsidR="004106F0" w:rsidRDefault="004106F0" w:rsidP="000D301C">
      <w:pPr>
        <w:spacing w:line="360" w:lineRule="auto"/>
        <w:contextualSpacing/>
        <w:jc w:val="both"/>
        <w:rPr>
          <w:rFonts w:ascii="Arial" w:hAnsi="Arial" w:cs="Arial"/>
        </w:rPr>
      </w:pPr>
    </w:p>
    <w:p w14:paraId="6D5C2EBD" w14:textId="77777777" w:rsidR="004106F0" w:rsidRPr="000D301C" w:rsidRDefault="004106F0" w:rsidP="000D301C">
      <w:pPr>
        <w:spacing w:line="360" w:lineRule="auto"/>
        <w:contextualSpacing/>
        <w:jc w:val="both"/>
        <w:rPr>
          <w:rFonts w:ascii="Arial" w:hAnsi="Arial" w:cs="Arial"/>
        </w:rPr>
      </w:pPr>
    </w:p>
    <w:p w14:paraId="66FAD4A9" w14:textId="0DEA94C9" w:rsidR="000D301C" w:rsidRPr="00010D29" w:rsidRDefault="000D301C" w:rsidP="00010D29">
      <w:pPr>
        <w:pStyle w:val="Paragrafoelenco"/>
        <w:numPr>
          <w:ilvl w:val="0"/>
          <w:numId w:val="3"/>
        </w:numPr>
        <w:spacing w:line="360" w:lineRule="auto"/>
        <w:jc w:val="both"/>
        <w:rPr>
          <w:rFonts w:ascii="Arial" w:hAnsi="Arial" w:cs="Arial"/>
          <w:b/>
        </w:rPr>
      </w:pPr>
      <w:r w:rsidRPr="00010D29">
        <w:rPr>
          <w:rFonts w:ascii="Arial" w:hAnsi="Arial" w:cs="Arial"/>
          <w:b/>
        </w:rPr>
        <w:lastRenderedPageBreak/>
        <w:t>Criteri generali per l’applicazione delle riduzioni</w:t>
      </w:r>
    </w:p>
    <w:p w14:paraId="3FBD4B3C" w14:textId="695E7336" w:rsidR="000D301C" w:rsidRPr="004106F0" w:rsidRDefault="000D301C" w:rsidP="004106F0">
      <w:pPr>
        <w:spacing w:line="360" w:lineRule="auto"/>
        <w:contextualSpacing/>
        <w:jc w:val="both"/>
        <w:rPr>
          <w:rFonts w:ascii="Arial" w:hAnsi="Arial" w:cs="Arial"/>
        </w:rPr>
      </w:pPr>
      <w:r w:rsidRPr="004106F0">
        <w:rPr>
          <w:rFonts w:ascii="Arial" w:hAnsi="Arial" w:cs="Arial"/>
        </w:rPr>
        <w:t xml:space="preserve">L’applicazione delle riduzioni e delle correzioni finanziarie, secondo quanto stabilito dalla normativa europea di riferimento e dal decreto </w:t>
      </w:r>
      <w:r w:rsidR="004106F0" w:rsidRPr="004106F0">
        <w:rPr>
          <w:rFonts w:ascii="Arial" w:hAnsi="Arial" w:cs="Arial"/>
        </w:rPr>
        <w:t xml:space="preserve">del </w:t>
      </w:r>
      <w:hyperlink r:id="rId7" w:history="1">
        <w:r w:rsidR="004106F0">
          <w:rPr>
            <w:rFonts w:ascii="Arial" w:hAnsi="Arial" w:cs="Arial"/>
          </w:rPr>
          <w:t>M</w:t>
        </w:r>
        <w:r w:rsidR="004106F0" w:rsidRPr="004106F0">
          <w:rPr>
            <w:rFonts w:ascii="Arial" w:hAnsi="Arial" w:cs="Arial"/>
          </w:rPr>
          <w:t xml:space="preserve">inistero delle </w:t>
        </w:r>
        <w:r w:rsidR="004106F0">
          <w:rPr>
            <w:rFonts w:ascii="Arial" w:hAnsi="Arial" w:cs="Arial"/>
          </w:rPr>
          <w:t>P</w:t>
        </w:r>
        <w:r w:rsidR="004106F0" w:rsidRPr="004106F0">
          <w:rPr>
            <w:rFonts w:ascii="Arial" w:hAnsi="Arial" w:cs="Arial"/>
          </w:rPr>
          <w:t xml:space="preserve">olitiche </w:t>
        </w:r>
        <w:r w:rsidR="004106F0">
          <w:rPr>
            <w:rFonts w:ascii="Arial" w:hAnsi="Arial" w:cs="Arial"/>
          </w:rPr>
          <w:t>A</w:t>
        </w:r>
        <w:r w:rsidR="004106F0" w:rsidRPr="004106F0">
          <w:rPr>
            <w:rFonts w:ascii="Arial" w:hAnsi="Arial" w:cs="Arial"/>
          </w:rPr>
          <w:t xml:space="preserve">gricole </w:t>
        </w:r>
        <w:r w:rsidR="004106F0">
          <w:rPr>
            <w:rFonts w:ascii="Arial" w:hAnsi="Arial" w:cs="Arial"/>
          </w:rPr>
          <w:t>A</w:t>
        </w:r>
        <w:r w:rsidR="004106F0" w:rsidRPr="004106F0">
          <w:rPr>
            <w:rFonts w:ascii="Arial" w:hAnsi="Arial" w:cs="Arial"/>
          </w:rPr>
          <w:t xml:space="preserve">limentari e </w:t>
        </w:r>
        <w:r w:rsidR="004106F0">
          <w:rPr>
            <w:rFonts w:ascii="Arial" w:hAnsi="Arial" w:cs="Arial"/>
          </w:rPr>
          <w:t>F</w:t>
        </w:r>
        <w:r w:rsidR="004106F0" w:rsidRPr="004106F0">
          <w:rPr>
            <w:rFonts w:ascii="Arial" w:hAnsi="Arial" w:cs="Arial"/>
          </w:rPr>
          <w:t>orestali</w:t>
        </w:r>
      </w:hyperlink>
      <w:r w:rsidR="004106F0">
        <w:rPr>
          <w:rFonts w:ascii="Arial" w:hAnsi="Arial" w:cs="Arial"/>
        </w:rPr>
        <w:t xml:space="preserve"> n. </w:t>
      </w:r>
      <w:hyperlink r:id="rId8" w:history="1">
        <w:r w:rsidR="004106F0" w:rsidRPr="004106F0">
          <w:rPr>
            <w:rFonts w:ascii="Arial" w:hAnsi="Arial" w:cs="Arial"/>
          </w:rPr>
          <w:t xml:space="preserve">10255 del  22 ottobre 2018 </w:t>
        </w:r>
      </w:hyperlink>
      <w:r w:rsidRPr="004106F0">
        <w:rPr>
          <w:rFonts w:ascii="Arial" w:hAnsi="Arial" w:cs="Arial"/>
        </w:rPr>
        <w:t xml:space="preserve"> recante “Criteri generali per l'applicazione delle riduzioni ed esclusioni per mancato rispetto delle regole sugli appalti pubblici”, tiene conto di alcuni principi che </w:t>
      </w:r>
      <w:r w:rsidR="004106F0" w:rsidRPr="004106F0">
        <w:rPr>
          <w:rFonts w:ascii="Arial" w:hAnsi="Arial" w:cs="Arial"/>
        </w:rPr>
        <w:t>è opportuno</w:t>
      </w:r>
      <w:r w:rsidRPr="004106F0">
        <w:rPr>
          <w:rFonts w:ascii="Arial" w:hAnsi="Arial" w:cs="Arial"/>
        </w:rPr>
        <w:t xml:space="preserve"> ric</w:t>
      </w:r>
      <w:r w:rsidR="004106F0" w:rsidRPr="004106F0">
        <w:rPr>
          <w:rFonts w:ascii="Arial" w:hAnsi="Arial" w:cs="Arial"/>
        </w:rPr>
        <w:t>hiamare</w:t>
      </w:r>
      <w:r w:rsidRPr="004106F0">
        <w:rPr>
          <w:rFonts w:ascii="Arial" w:hAnsi="Arial" w:cs="Arial"/>
        </w:rPr>
        <w:t>:</w:t>
      </w:r>
    </w:p>
    <w:p w14:paraId="3CA679E3" w14:textId="77777777" w:rsidR="004106F0" w:rsidRPr="004106F0" w:rsidRDefault="004106F0" w:rsidP="004106F0">
      <w:pPr>
        <w:pStyle w:val="NormaleWeb"/>
        <w:spacing w:before="0" w:beforeAutospacing="0" w:after="0" w:afterAutospacing="0"/>
        <w:rPr>
          <w:rFonts w:ascii="Arial" w:eastAsiaTheme="minorHAnsi" w:hAnsi="Arial" w:cs="Arial"/>
          <w:sz w:val="22"/>
          <w:szCs w:val="22"/>
          <w:lang w:eastAsia="en-US"/>
        </w:rPr>
      </w:pPr>
    </w:p>
    <w:p w14:paraId="5BFC0F97" w14:textId="20ED145C" w:rsidR="000D301C" w:rsidRPr="000D301C" w:rsidRDefault="000D301C" w:rsidP="000D301C">
      <w:pPr>
        <w:pStyle w:val="Paragrafoelenco"/>
        <w:numPr>
          <w:ilvl w:val="0"/>
          <w:numId w:val="1"/>
        </w:numPr>
        <w:spacing w:line="360" w:lineRule="auto"/>
        <w:jc w:val="both"/>
        <w:rPr>
          <w:rFonts w:ascii="Arial" w:hAnsi="Arial" w:cs="Arial"/>
        </w:rPr>
      </w:pPr>
      <w:r w:rsidRPr="000D301C">
        <w:rPr>
          <w:rFonts w:ascii="Arial" w:hAnsi="Arial" w:cs="Arial"/>
        </w:rPr>
        <w:t>I tassi di riduzione forfettaria sono applicati solo quando non è possibile quantificare con precisione le implicazioni finanziarie per l'appalto in questione</w:t>
      </w:r>
      <w:r w:rsidR="004106F0">
        <w:rPr>
          <w:rFonts w:ascii="Arial" w:hAnsi="Arial" w:cs="Arial"/>
        </w:rPr>
        <w:t>.</w:t>
      </w:r>
    </w:p>
    <w:p w14:paraId="6FEF090A" w14:textId="77777777" w:rsidR="000D301C" w:rsidRPr="000D301C" w:rsidRDefault="000D301C" w:rsidP="000D301C">
      <w:pPr>
        <w:pStyle w:val="Paragrafoelenco"/>
        <w:numPr>
          <w:ilvl w:val="0"/>
          <w:numId w:val="1"/>
        </w:numPr>
        <w:spacing w:line="360" w:lineRule="auto"/>
        <w:jc w:val="both"/>
        <w:rPr>
          <w:rFonts w:ascii="Arial" w:hAnsi="Arial" w:cs="Arial"/>
        </w:rPr>
      </w:pPr>
      <w:r w:rsidRPr="000D301C">
        <w:rPr>
          <w:rFonts w:ascii="Arial" w:hAnsi="Arial" w:cs="Arial"/>
        </w:rPr>
        <w:t>Le non conformità classificabili come «formali non rilevanti ai fini della corretta erogazione degli aiuti comunitari» sono quelle che non comportano alcun impatto finanziario effettivo o potenziale. In tali casi non si applica alcuna rettifica finanziaria.</w:t>
      </w:r>
    </w:p>
    <w:p w14:paraId="403AC822" w14:textId="77777777" w:rsidR="000D301C" w:rsidRPr="000D301C" w:rsidRDefault="000D301C" w:rsidP="000D301C">
      <w:pPr>
        <w:pStyle w:val="Paragrafoelenco"/>
        <w:numPr>
          <w:ilvl w:val="0"/>
          <w:numId w:val="1"/>
        </w:numPr>
        <w:spacing w:line="360" w:lineRule="auto"/>
        <w:jc w:val="both"/>
        <w:rPr>
          <w:rFonts w:ascii="Arial" w:hAnsi="Arial" w:cs="Arial"/>
        </w:rPr>
      </w:pPr>
      <w:r w:rsidRPr="000D301C">
        <w:rPr>
          <w:rFonts w:ascii="Arial" w:hAnsi="Arial" w:cs="Arial"/>
        </w:rPr>
        <w:t>Non si applicano riduzioni se, a seguito di richieste di integrazioni o chiarimenti, la stazione appaltante è in grado di fornire documentazione o comprova rispetto alle richieste formulate (soccorso istruttorio).</w:t>
      </w:r>
    </w:p>
    <w:p w14:paraId="2A1C91CD" w14:textId="77777777" w:rsidR="000D301C" w:rsidRPr="000D301C" w:rsidRDefault="000D301C" w:rsidP="000D301C">
      <w:pPr>
        <w:pStyle w:val="Paragrafoelenco"/>
        <w:numPr>
          <w:ilvl w:val="0"/>
          <w:numId w:val="1"/>
        </w:numPr>
        <w:spacing w:line="360" w:lineRule="auto"/>
        <w:jc w:val="both"/>
        <w:rPr>
          <w:rFonts w:ascii="Arial" w:hAnsi="Arial" w:cs="Arial"/>
        </w:rPr>
      </w:pPr>
      <w:r w:rsidRPr="000D301C">
        <w:rPr>
          <w:rFonts w:ascii="Arial" w:hAnsi="Arial" w:cs="Arial"/>
        </w:rPr>
        <w:t>Quando una serie di irregolarità viene rilevata nella stessa procedura d'appalto, tenuto conto che i tassi di correzione non sono cumulabili, l'irregolarità più grave verrà presa come indicazione per decidere il tasso di correzione.</w:t>
      </w:r>
    </w:p>
    <w:p w14:paraId="35A08DC0" w14:textId="77777777" w:rsidR="00CF05F8" w:rsidRDefault="00CF05F8">
      <w:pPr>
        <w:rPr>
          <w:rFonts w:ascii="Arial" w:hAnsi="Arial" w:cs="Arial"/>
        </w:rPr>
      </w:pPr>
    </w:p>
    <w:p w14:paraId="572F7BBD" w14:textId="7154B487" w:rsidR="00CF05F8" w:rsidRPr="00CF05F8" w:rsidRDefault="00CF05F8" w:rsidP="00CF05F8">
      <w:pPr>
        <w:pStyle w:val="Paragrafoelenco"/>
        <w:numPr>
          <w:ilvl w:val="0"/>
          <w:numId w:val="3"/>
        </w:numPr>
        <w:spacing w:line="360" w:lineRule="auto"/>
        <w:jc w:val="both"/>
        <w:rPr>
          <w:rFonts w:ascii="Arial" w:hAnsi="Arial" w:cs="Arial"/>
          <w:b/>
        </w:rPr>
      </w:pPr>
      <w:r w:rsidRPr="00CF05F8">
        <w:rPr>
          <w:rFonts w:ascii="Arial" w:hAnsi="Arial" w:cs="Arial"/>
          <w:b/>
        </w:rPr>
        <w:t xml:space="preserve">Riferimenti normativi </w:t>
      </w:r>
    </w:p>
    <w:p w14:paraId="1FBDB9BE" w14:textId="6A1D156D" w:rsidR="00701612" w:rsidRPr="004D3970" w:rsidRDefault="00CF05F8" w:rsidP="00701612">
      <w:pPr>
        <w:pStyle w:val="Testonormale"/>
        <w:numPr>
          <w:ilvl w:val="0"/>
          <w:numId w:val="4"/>
        </w:numPr>
        <w:jc w:val="both"/>
        <w:rPr>
          <w:rFonts w:ascii="Arial" w:hAnsi="Arial" w:cs="Arial"/>
          <w:szCs w:val="22"/>
        </w:rPr>
      </w:pPr>
      <w:r w:rsidRPr="004D3970">
        <w:rPr>
          <w:rFonts w:ascii="Arial" w:eastAsiaTheme="minorHAnsi" w:hAnsi="Arial" w:cs="Arial"/>
          <w:kern w:val="0"/>
          <w:szCs w:val="22"/>
          <w14:ligatures w14:val="none"/>
        </w:rPr>
        <w:t xml:space="preserve">Reg. (UE) n. 809/2014 e </w:t>
      </w:r>
      <w:proofErr w:type="spellStart"/>
      <w:r w:rsidRPr="004D3970">
        <w:rPr>
          <w:rFonts w:ascii="Arial" w:eastAsiaTheme="minorHAnsi" w:hAnsi="Arial" w:cs="Arial"/>
          <w:kern w:val="0"/>
          <w:szCs w:val="22"/>
          <w14:ligatures w14:val="none"/>
        </w:rPr>
        <w:t>s.m.i.</w:t>
      </w:r>
      <w:proofErr w:type="spellEnd"/>
      <w:r w:rsidRPr="004D3970">
        <w:rPr>
          <w:rFonts w:ascii="Arial" w:eastAsiaTheme="minorHAnsi" w:hAnsi="Arial" w:cs="Arial"/>
          <w:kern w:val="0"/>
          <w:szCs w:val="22"/>
          <w14:ligatures w14:val="none"/>
        </w:rPr>
        <w:t xml:space="preserve"> della Commissione del 17 luglio 2014 recante modalità di applicazione del regolamento (UE) n. 1306/2013 del Parlamento europeo e del Consiglio per quanto riguarda il sistema integrato di gestione e di controllo, le misure di sviluppo rurale e la condizionalità</w:t>
      </w:r>
      <w:r w:rsidRPr="004D3970">
        <w:rPr>
          <w:rFonts w:ascii="Arial" w:hAnsi="Arial" w:cs="Arial"/>
          <w:szCs w:val="22"/>
        </w:rPr>
        <w:t>;</w:t>
      </w:r>
    </w:p>
    <w:p w14:paraId="1481602A" w14:textId="77777777" w:rsidR="00701612" w:rsidRPr="004D3970" w:rsidRDefault="00701612" w:rsidP="00701612">
      <w:pPr>
        <w:pStyle w:val="Testonormale"/>
        <w:numPr>
          <w:ilvl w:val="1"/>
          <w:numId w:val="4"/>
        </w:numPr>
        <w:jc w:val="both"/>
        <w:rPr>
          <w:rFonts w:ascii="Arial" w:hAnsi="Arial" w:cs="Arial"/>
          <w:szCs w:val="22"/>
        </w:rPr>
      </w:pPr>
      <w:r w:rsidRPr="004D3970">
        <w:rPr>
          <w:rFonts w:ascii="Arial" w:hAnsi="Arial" w:cs="Arial"/>
          <w:szCs w:val="22"/>
        </w:rPr>
        <w:t>l’art. 48 c. 1 del Reg. (UE) n. 809/2014 prevede che le domande di sostegno e di pagamento sono sottoposte a controlli amministrativi che riguardano tutti gli elementi che è possibile ed appropriato verificare mediante questo tipo di controlli;</w:t>
      </w:r>
    </w:p>
    <w:p w14:paraId="4252DD76" w14:textId="77777777" w:rsidR="00701612" w:rsidRPr="004D3970" w:rsidRDefault="00701612" w:rsidP="00701612">
      <w:pPr>
        <w:pStyle w:val="Testonormale"/>
        <w:numPr>
          <w:ilvl w:val="1"/>
          <w:numId w:val="4"/>
        </w:numPr>
        <w:jc w:val="both"/>
        <w:rPr>
          <w:rFonts w:ascii="Arial" w:hAnsi="Arial" w:cs="Arial"/>
          <w:szCs w:val="22"/>
        </w:rPr>
      </w:pPr>
      <w:r w:rsidRPr="004D3970">
        <w:rPr>
          <w:rFonts w:ascii="Arial" w:hAnsi="Arial" w:cs="Arial"/>
          <w:szCs w:val="22"/>
        </w:rPr>
        <w:t xml:space="preserve">l’art.48 c. 2 del Reg. (UE) n. 809/2014 prevede che I controlli sulle domande di sostegno garantiscono la conformità dell’operazione con gli obblighi applicabili stabiliti dalla legislazione </w:t>
      </w:r>
      <w:proofErr w:type="spellStart"/>
      <w:r w:rsidRPr="004D3970">
        <w:rPr>
          <w:rFonts w:ascii="Arial" w:hAnsi="Arial" w:cs="Arial"/>
          <w:szCs w:val="22"/>
        </w:rPr>
        <w:t>unionale</w:t>
      </w:r>
      <w:proofErr w:type="spellEnd"/>
      <w:r w:rsidRPr="004D3970">
        <w:rPr>
          <w:rFonts w:ascii="Arial" w:hAnsi="Arial" w:cs="Arial"/>
          <w:szCs w:val="22"/>
        </w:rPr>
        <w:t xml:space="preserve"> o nazionale o dal programma di sviluppo rurale, compresi quelli in materia di appalti pubblici;</w:t>
      </w:r>
    </w:p>
    <w:p w14:paraId="1B9DEC5D" w14:textId="77777777" w:rsidR="00701612" w:rsidRPr="004D3970" w:rsidRDefault="00701612" w:rsidP="00701612">
      <w:pPr>
        <w:pStyle w:val="Testonormale"/>
        <w:jc w:val="both"/>
        <w:rPr>
          <w:rFonts w:ascii="Arial" w:hAnsi="Arial" w:cs="Arial"/>
          <w:szCs w:val="22"/>
        </w:rPr>
      </w:pPr>
    </w:p>
    <w:p w14:paraId="547E245D" w14:textId="6F342540" w:rsidR="00701612" w:rsidRPr="004D3970" w:rsidRDefault="00CF05F8" w:rsidP="00701612">
      <w:pPr>
        <w:pStyle w:val="Testonormale"/>
        <w:numPr>
          <w:ilvl w:val="0"/>
          <w:numId w:val="4"/>
        </w:numPr>
        <w:jc w:val="both"/>
        <w:rPr>
          <w:rFonts w:ascii="Arial" w:hAnsi="Arial" w:cs="Arial"/>
          <w:szCs w:val="22"/>
        </w:rPr>
      </w:pPr>
      <w:r w:rsidRPr="004D3970">
        <w:rPr>
          <w:rFonts w:ascii="Arial" w:hAnsi="Arial" w:cs="Arial"/>
          <w:szCs w:val="22"/>
        </w:rPr>
        <w:t>Reg. (UE) n. 2116/2021 del Parlamento Europeo del 02 dicembre 2021 sul finanziamento sulla gestione e sul monitoraggio della politica agricola comune che abroga il regolamento 1306/2013;</w:t>
      </w:r>
    </w:p>
    <w:p w14:paraId="519DB102" w14:textId="77777777" w:rsidR="00701612" w:rsidRPr="004D3970" w:rsidRDefault="00701612" w:rsidP="00701612">
      <w:pPr>
        <w:pStyle w:val="Testonormale"/>
        <w:numPr>
          <w:ilvl w:val="1"/>
          <w:numId w:val="4"/>
        </w:numPr>
        <w:jc w:val="both"/>
        <w:rPr>
          <w:rFonts w:ascii="Arial" w:hAnsi="Arial" w:cs="Arial"/>
          <w:szCs w:val="22"/>
        </w:rPr>
      </w:pPr>
      <w:r w:rsidRPr="004D3970">
        <w:rPr>
          <w:rFonts w:ascii="Arial" w:hAnsi="Arial" w:cs="Arial"/>
          <w:szCs w:val="22"/>
        </w:rPr>
        <w:t>l’art. 61 del Reg. (UE) n. 2116/2021, riguardante l’inosservanza delle norme sugli appalti pubblici, prevede che gli Stati Membri provvedono a che la parte dell’aiuto che non deve essere pagata o che deve essere revocata sia determinata in funzione della gravità dell’inosservanza e secondo il principio di proporzionalità;</w:t>
      </w:r>
    </w:p>
    <w:p w14:paraId="41B1808E" w14:textId="77777777" w:rsidR="00701612" w:rsidRPr="004D3970" w:rsidRDefault="00701612" w:rsidP="00701612">
      <w:pPr>
        <w:pStyle w:val="Testonormale"/>
        <w:ind w:left="720"/>
        <w:jc w:val="both"/>
        <w:rPr>
          <w:rFonts w:ascii="Arial" w:hAnsi="Arial" w:cs="Arial"/>
          <w:szCs w:val="22"/>
        </w:rPr>
      </w:pPr>
    </w:p>
    <w:p w14:paraId="4A504DC9" w14:textId="3EB7B3DB" w:rsidR="00701612" w:rsidRPr="004D3970" w:rsidRDefault="00CF05F8" w:rsidP="00701612">
      <w:pPr>
        <w:pStyle w:val="Testonormale"/>
        <w:numPr>
          <w:ilvl w:val="0"/>
          <w:numId w:val="4"/>
        </w:numPr>
        <w:jc w:val="both"/>
        <w:rPr>
          <w:rFonts w:ascii="Arial" w:hAnsi="Arial" w:cs="Arial"/>
          <w:szCs w:val="22"/>
        </w:rPr>
      </w:pPr>
      <w:r w:rsidRPr="004D3970">
        <w:rPr>
          <w:rFonts w:ascii="Arial" w:hAnsi="Arial" w:cs="Arial"/>
          <w:szCs w:val="22"/>
        </w:rPr>
        <w:lastRenderedPageBreak/>
        <w:t>il Piano Strategico della PAC (PSP) 2023-2027 per l’Italia approvato dalla Commissione europea con Decisione C(2022)8645 del 2 dicembre 2022, operativo a partire dal 1° gennaio 2023, e modificato con Decisione C(2023) 6990 del 23 ottobre 2023;</w:t>
      </w:r>
    </w:p>
    <w:p w14:paraId="0329DE9D" w14:textId="616DF4C6" w:rsidR="00701612" w:rsidRPr="004D3970" w:rsidRDefault="00701612" w:rsidP="00701612">
      <w:pPr>
        <w:pStyle w:val="Testonormale"/>
        <w:numPr>
          <w:ilvl w:val="1"/>
          <w:numId w:val="4"/>
        </w:numPr>
        <w:jc w:val="both"/>
        <w:rPr>
          <w:rFonts w:ascii="Arial" w:hAnsi="Arial" w:cs="Arial"/>
          <w:szCs w:val="22"/>
        </w:rPr>
      </w:pPr>
      <w:r w:rsidRPr="004D3970">
        <w:rPr>
          <w:rFonts w:ascii="Arial" w:hAnsi="Arial" w:cs="Arial"/>
          <w:szCs w:val="22"/>
        </w:rPr>
        <w:t xml:space="preserve">il Paragrafo 7.3.2.3 del PSP relativo alle norme sugli appalti pubblici, prevede che i controlli amministrativi sulle domande di sostegno garantiscono la conformità dell’operazione con gli obblighi applicabili stabiliti dalla legislazione </w:t>
      </w:r>
      <w:proofErr w:type="spellStart"/>
      <w:r w:rsidRPr="004D3970">
        <w:rPr>
          <w:rFonts w:ascii="Arial" w:hAnsi="Arial" w:cs="Arial"/>
          <w:szCs w:val="22"/>
        </w:rPr>
        <w:t>unionale</w:t>
      </w:r>
      <w:proofErr w:type="spellEnd"/>
      <w:r w:rsidRPr="004D3970">
        <w:rPr>
          <w:rFonts w:ascii="Arial" w:hAnsi="Arial" w:cs="Arial"/>
          <w:szCs w:val="22"/>
        </w:rPr>
        <w:t xml:space="preserve"> o nazionale o dal piano strategico, compresi quelli in materia di appalti pubblici;</w:t>
      </w:r>
    </w:p>
    <w:p w14:paraId="784DD4F8" w14:textId="77777777" w:rsidR="00701612" w:rsidRPr="004D3970" w:rsidRDefault="00701612" w:rsidP="00701612">
      <w:pPr>
        <w:pStyle w:val="Testonormale"/>
        <w:numPr>
          <w:ilvl w:val="1"/>
          <w:numId w:val="4"/>
        </w:numPr>
        <w:jc w:val="both"/>
        <w:rPr>
          <w:rFonts w:ascii="Arial" w:hAnsi="Arial" w:cs="Arial"/>
          <w:szCs w:val="22"/>
        </w:rPr>
      </w:pPr>
      <w:r w:rsidRPr="004D3970">
        <w:rPr>
          <w:rFonts w:ascii="Arial" w:hAnsi="Arial" w:cs="Arial"/>
          <w:szCs w:val="22"/>
        </w:rPr>
        <w:t>lo stesso Paragrafo 7.3.2.3 prevede che per favorire l’esecuzione dei controlli ed allo scopo di ridurre le violazioni della normativa europea e nazionale in materia di contratti pubblici, è previsto l’utilizzo di checklist per valutare preventivamente della correttezza della procedura di gara adottata;</w:t>
      </w:r>
    </w:p>
    <w:p w14:paraId="6F7F5697" w14:textId="77777777" w:rsidR="00701612" w:rsidRPr="004D3970" w:rsidRDefault="00701612" w:rsidP="00701612">
      <w:pPr>
        <w:pStyle w:val="Testonormale"/>
        <w:jc w:val="both"/>
        <w:rPr>
          <w:rFonts w:ascii="Arial" w:hAnsi="Arial" w:cs="Arial"/>
          <w:szCs w:val="22"/>
        </w:rPr>
      </w:pPr>
    </w:p>
    <w:p w14:paraId="041BEEA6" w14:textId="632E4D67" w:rsidR="00701612" w:rsidRPr="004D3970" w:rsidRDefault="00CF05F8" w:rsidP="00701612">
      <w:pPr>
        <w:pStyle w:val="Testonormale"/>
        <w:numPr>
          <w:ilvl w:val="0"/>
          <w:numId w:val="4"/>
        </w:numPr>
        <w:jc w:val="both"/>
        <w:rPr>
          <w:rFonts w:ascii="Arial" w:hAnsi="Arial" w:cs="Arial"/>
          <w:szCs w:val="22"/>
        </w:rPr>
      </w:pPr>
      <w:r w:rsidRPr="004D3970">
        <w:rPr>
          <w:rFonts w:ascii="Arial" w:hAnsi="Arial" w:cs="Arial"/>
          <w:szCs w:val="22"/>
        </w:rPr>
        <w:t xml:space="preserve">il </w:t>
      </w:r>
      <w:proofErr w:type="spellStart"/>
      <w:r w:rsidRPr="004D3970">
        <w:rPr>
          <w:rFonts w:ascii="Arial" w:hAnsi="Arial" w:cs="Arial"/>
          <w:szCs w:val="22"/>
        </w:rPr>
        <w:t>D.lgs</w:t>
      </w:r>
      <w:proofErr w:type="spellEnd"/>
      <w:r w:rsidRPr="004D3970">
        <w:rPr>
          <w:rFonts w:ascii="Arial" w:hAnsi="Arial" w:cs="Arial"/>
          <w:szCs w:val="22"/>
        </w:rPr>
        <w:t xml:space="preserve"> n. 42 del 17 marzo 2023 e </w:t>
      </w:r>
      <w:proofErr w:type="spellStart"/>
      <w:r w:rsidRPr="004D3970">
        <w:rPr>
          <w:rFonts w:ascii="Arial" w:hAnsi="Arial" w:cs="Arial"/>
          <w:szCs w:val="22"/>
        </w:rPr>
        <w:t>s.m.i</w:t>
      </w:r>
      <w:proofErr w:type="spellEnd"/>
      <w:r w:rsidRPr="004D3970">
        <w:rPr>
          <w:rFonts w:ascii="Arial" w:hAnsi="Arial" w:cs="Arial"/>
          <w:szCs w:val="22"/>
        </w:rPr>
        <w:t>, recante “Attuazione del regolamento (UE) 2021/2116 del Parlamento europeo e del Consiglio, del 2 dicembre 2021, sul finanziamento, sulla gestione e sul monitoraggio della politica agricola comune e che abroga il regolamento (UE) n. 1306/2013, recante l'introduzione di un meccanismo sanzionatorio, sotto forma di riduzione dei pagamenti ai beneficiari degli aiuti della politica agricola comune;</w:t>
      </w:r>
    </w:p>
    <w:p w14:paraId="6ABD1AC4" w14:textId="77777777" w:rsidR="00701612" w:rsidRPr="004D3970" w:rsidRDefault="00701612" w:rsidP="00701612">
      <w:pPr>
        <w:pStyle w:val="Testonormale"/>
        <w:numPr>
          <w:ilvl w:val="1"/>
          <w:numId w:val="4"/>
        </w:numPr>
        <w:jc w:val="both"/>
        <w:rPr>
          <w:rFonts w:ascii="Arial" w:hAnsi="Arial" w:cs="Arial"/>
          <w:szCs w:val="22"/>
        </w:rPr>
      </w:pPr>
      <w:r w:rsidRPr="004D3970">
        <w:rPr>
          <w:rFonts w:ascii="Arial" w:hAnsi="Arial" w:cs="Arial"/>
          <w:szCs w:val="22"/>
        </w:rPr>
        <w:t xml:space="preserve">l’art. 16 del </w:t>
      </w:r>
      <w:proofErr w:type="spellStart"/>
      <w:r w:rsidRPr="004D3970">
        <w:rPr>
          <w:rFonts w:ascii="Arial" w:hAnsi="Arial" w:cs="Arial"/>
          <w:szCs w:val="22"/>
        </w:rPr>
        <w:t>D.lgs</w:t>
      </w:r>
      <w:proofErr w:type="spellEnd"/>
      <w:r w:rsidRPr="004D3970">
        <w:rPr>
          <w:rFonts w:ascii="Arial" w:hAnsi="Arial" w:cs="Arial"/>
          <w:szCs w:val="22"/>
        </w:rPr>
        <w:t xml:space="preserve"> n. 42 del 17 marzo 2023 dispone che in caso di violazione delle regole degli appalti pubblici devono essere applicate al trasgressore sanzioni ai sensi del D.M. n. 10255 del 22 ottobre 2018;</w:t>
      </w:r>
    </w:p>
    <w:p w14:paraId="77132625" w14:textId="77777777" w:rsidR="00701612" w:rsidRPr="004D3970" w:rsidRDefault="00701612" w:rsidP="00701612">
      <w:pPr>
        <w:pStyle w:val="Testonormale"/>
        <w:jc w:val="both"/>
        <w:rPr>
          <w:rFonts w:ascii="Arial" w:hAnsi="Arial" w:cs="Arial"/>
          <w:szCs w:val="22"/>
        </w:rPr>
      </w:pPr>
    </w:p>
    <w:p w14:paraId="08BA4003" w14:textId="4F4AAC33" w:rsidR="00CF05F8" w:rsidRPr="004D3970" w:rsidRDefault="00CF05F8" w:rsidP="00CF05F8">
      <w:pPr>
        <w:pStyle w:val="Testonormale"/>
        <w:numPr>
          <w:ilvl w:val="0"/>
          <w:numId w:val="4"/>
        </w:numPr>
        <w:jc w:val="both"/>
        <w:rPr>
          <w:rFonts w:ascii="Arial" w:hAnsi="Arial" w:cs="Arial"/>
          <w:szCs w:val="22"/>
        </w:rPr>
      </w:pPr>
      <w:r w:rsidRPr="004D3970">
        <w:rPr>
          <w:rFonts w:ascii="Arial" w:hAnsi="Arial" w:cs="Arial"/>
          <w:szCs w:val="22"/>
        </w:rPr>
        <w:t xml:space="preserve">il D.M. n. 10255 del 22 ottobre 2018, “Criteri generali per l’applicazione delle riduzioni ed esclusioni per mancato rispetto delle regole sugli appalti pubblici in coerenza con le linee guida contenute nell’Allegato della Decisione C (2019) 3452 </w:t>
      </w:r>
      <w:proofErr w:type="spellStart"/>
      <w:r w:rsidRPr="004D3970">
        <w:rPr>
          <w:rFonts w:ascii="Arial" w:hAnsi="Arial" w:cs="Arial"/>
          <w:szCs w:val="22"/>
        </w:rPr>
        <w:t>final</w:t>
      </w:r>
      <w:proofErr w:type="spellEnd"/>
      <w:r w:rsidRPr="004D3970">
        <w:rPr>
          <w:rFonts w:ascii="Arial" w:hAnsi="Arial" w:cs="Arial"/>
          <w:szCs w:val="22"/>
        </w:rPr>
        <w:t xml:space="preserve"> del 14 maggio 2019”;</w:t>
      </w:r>
    </w:p>
    <w:p w14:paraId="05F0572D" w14:textId="77777777" w:rsidR="004F1510" w:rsidRPr="004D3970" w:rsidRDefault="004F1510" w:rsidP="00084AC3">
      <w:pPr>
        <w:pStyle w:val="Testonormale"/>
        <w:ind w:left="720"/>
        <w:jc w:val="both"/>
        <w:rPr>
          <w:rFonts w:ascii="Arial" w:hAnsi="Arial" w:cs="Arial"/>
          <w:szCs w:val="22"/>
        </w:rPr>
      </w:pPr>
    </w:p>
    <w:p w14:paraId="6C366703" w14:textId="254EB4CB" w:rsidR="00CF05F8" w:rsidRPr="004D3970" w:rsidRDefault="00CF05F8" w:rsidP="00CF05F8">
      <w:pPr>
        <w:pStyle w:val="Testonormale"/>
        <w:numPr>
          <w:ilvl w:val="0"/>
          <w:numId w:val="4"/>
        </w:numPr>
        <w:jc w:val="both"/>
        <w:rPr>
          <w:rFonts w:ascii="Arial" w:hAnsi="Arial" w:cs="Arial"/>
          <w:szCs w:val="22"/>
        </w:rPr>
      </w:pPr>
      <w:r w:rsidRPr="004D3970">
        <w:rPr>
          <w:rFonts w:ascii="Arial" w:hAnsi="Arial" w:cs="Arial"/>
          <w:szCs w:val="22"/>
        </w:rPr>
        <w:t>il DM n. 4107</w:t>
      </w:r>
      <w:r w:rsidR="00084AC3" w:rsidRPr="004D3970">
        <w:rPr>
          <w:rFonts w:ascii="Arial" w:hAnsi="Arial" w:cs="Arial"/>
          <w:szCs w:val="22"/>
        </w:rPr>
        <w:t>27</w:t>
      </w:r>
      <w:r w:rsidRPr="004D3970">
        <w:rPr>
          <w:rFonts w:ascii="Arial" w:hAnsi="Arial" w:cs="Arial"/>
          <w:szCs w:val="22"/>
        </w:rPr>
        <w:t xml:space="preserve"> del 4 agosto 2023 recante Modalità di accertamento della legittimità e regolarità delle operazioni finanziate dal FEASR per i tipi di intervento che non rientrano nel campo di applicazione del Sistema Integrato di Gestione e Controllo di cui al Titolo IV, Capitolo II del regolamento (UE) n. 2021/2116;</w:t>
      </w:r>
    </w:p>
    <w:p w14:paraId="653D3986" w14:textId="00AB774C" w:rsidR="00701612" w:rsidRPr="004D3970" w:rsidRDefault="00701612" w:rsidP="00C777C9">
      <w:pPr>
        <w:pStyle w:val="Testonormale"/>
        <w:numPr>
          <w:ilvl w:val="1"/>
          <w:numId w:val="4"/>
        </w:numPr>
        <w:jc w:val="both"/>
        <w:rPr>
          <w:rFonts w:ascii="Arial" w:hAnsi="Arial" w:cs="Arial"/>
          <w:szCs w:val="22"/>
        </w:rPr>
      </w:pPr>
      <w:r w:rsidRPr="004D3970">
        <w:rPr>
          <w:rFonts w:ascii="Arial" w:hAnsi="Arial" w:cs="Arial"/>
          <w:szCs w:val="22"/>
        </w:rPr>
        <w:t xml:space="preserve">l’art. 3 del DM n. 410727 del 4 agosto 2023 prevede che </w:t>
      </w:r>
      <w:r w:rsidR="00084AC3" w:rsidRPr="004D3970">
        <w:rPr>
          <w:rFonts w:ascii="Arial" w:hAnsi="Arial" w:cs="Arial"/>
          <w:szCs w:val="22"/>
        </w:rPr>
        <w:t xml:space="preserve">i controlli amministrativi sulle domande di sostegno e altre dichiarazioni, di competenza delle Autorità di gestione, garantiscono la conformità dell’operazione così come definita all’articolo 3, comma 4, del regolamento (UE) 2021/2115, con gli obblighi applicabili stabiliti dalla legislazione </w:t>
      </w:r>
      <w:proofErr w:type="spellStart"/>
      <w:r w:rsidR="00084AC3" w:rsidRPr="004D3970">
        <w:rPr>
          <w:rFonts w:ascii="Arial" w:hAnsi="Arial" w:cs="Arial"/>
          <w:szCs w:val="22"/>
        </w:rPr>
        <w:t>unionale</w:t>
      </w:r>
      <w:proofErr w:type="spellEnd"/>
      <w:r w:rsidR="00084AC3" w:rsidRPr="004D3970">
        <w:rPr>
          <w:rFonts w:ascii="Arial" w:hAnsi="Arial" w:cs="Arial"/>
          <w:szCs w:val="22"/>
        </w:rPr>
        <w:t xml:space="preserve"> e/o nazionale e/o dal PSP, compresi quelli in materia di appalti pubblici, aiuti di Stato e altre norme e requisiti obbligatori;</w:t>
      </w:r>
    </w:p>
    <w:p w14:paraId="5D621643" w14:textId="77777777" w:rsidR="00084AC3" w:rsidRPr="004D3970" w:rsidRDefault="00084AC3" w:rsidP="00084AC3">
      <w:pPr>
        <w:pStyle w:val="Testonormale"/>
        <w:ind w:left="1440"/>
        <w:jc w:val="both"/>
        <w:rPr>
          <w:rFonts w:ascii="Arial" w:hAnsi="Arial" w:cs="Arial"/>
          <w:szCs w:val="22"/>
        </w:rPr>
      </w:pPr>
    </w:p>
    <w:p w14:paraId="7E1AD991" w14:textId="3558FD3E" w:rsidR="00CF05F8" w:rsidRPr="004D3970" w:rsidRDefault="00CF05F8" w:rsidP="00CF05F8">
      <w:pPr>
        <w:pStyle w:val="Testonormale"/>
        <w:numPr>
          <w:ilvl w:val="0"/>
          <w:numId w:val="4"/>
        </w:numPr>
        <w:jc w:val="both"/>
        <w:rPr>
          <w:rFonts w:ascii="Arial" w:hAnsi="Arial" w:cs="Arial"/>
          <w:szCs w:val="22"/>
        </w:rPr>
      </w:pPr>
      <w:r w:rsidRPr="004D3970">
        <w:rPr>
          <w:rFonts w:ascii="Arial" w:hAnsi="Arial" w:cs="Arial"/>
          <w:szCs w:val="22"/>
        </w:rPr>
        <w:t>il D.lgs. n. 36 del 31 marzo 2023, recante "Codice dei contratti pubblici in attuazione dell'articolo 1 della legge 21 giugno 2022, n. 78, recante delega al Governo in materia di contratti pubblici".</w:t>
      </w:r>
    </w:p>
    <w:p w14:paraId="67199D10" w14:textId="77777777" w:rsidR="00CF05F8" w:rsidRPr="004D3970" w:rsidRDefault="00CF05F8" w:rsidP="00CF05F8">
      <w:pPr>
        <w:pStyle w:val="Testonormale"/>
        <w:jc w:val="both"/>
        <w:rPr>
          <w:rFonts w:ascii="Arial" w:hAnsi="Arial" w:cs="Arial"/>
          <w:szCs w:val="22"/>
        </w:rPr>
      </w:pPr>
    </w:p>
    <w:p w14:paraId="33B94892" w14:textId="77777777" w:rsidR="00CF05F8" w:rsidRPr="004D3970" w:rsidRDefault="00CF05F8" w:rsidP="00CF05F8">
      <w:pPr>
        <w:pStyle w:val="Testonormale"/>
        <w:jc w:val="both"/>
        <w:rPr>
          <w:rFonts w:ascii="Arial" w:hAnsi="Arial" w:cs="Arial"/>
          <w:szCs w:val="22"/>
        </w:rPr>
      </w:pPr>
    </w:p>
    <w:p w14:paraId="6621D2EB" w14:textId="77777777" w:rsidR="00CF05F8" w:rsidRPr="004D3970" w:rsidRDefault="00CF05F8" w:rsidP="00CF05F8">
      <w:pPr>
        <w:pStyle w:val="Testonormale"/>
        <w:jc w:val="both"/>
        <w:rPr>
          <w:rFonts w:ascii="Arial" w:hAnsi="Arial" w:cs="Arial"/>
          <w:szCs w:val="22"/>
        </w:rPr>
      </w:pPr>
    </w:p>
    <w:p w14:paraId="7AFE81CD" w14:textId="77777777" w:rsidR="00CF05F8" w:rsidRPr="004D3970" w:rsidRDefault="00CF05F8" w:rsidP="00CF05F8">
      <w:pPr>
        <w:jc w:val="both"/>
        <w:rPr>
          <w:rFonts w:ascii="Arial" w:hAnsi="Arial" w:cs="Arial"/>
        </w:rPr>
      </w:pPr>
    </w:p>
    <w:sectPr w:rsidR="00CF05F8" w:rsidRPr="004D3970" w:rsidSect="00E27D9F">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CAD42B" w14:textId="77777777" w:rsidR="00E27D9F" w:rsidRDefault="00E27D9F">
      <w:pPr>
        <w:spacing w:after="0" w:line="240" w:lineRule="auto"/>
      </w:pPr>
      <w:r>
        <w:separator/>
      </w:r>
    </w:p>
  </w:endnote>
  <w:endnote w:type="continuationSeparator" w:id="0">
    <w:p w14:paraId="0692896A" w14:textId="77777777" w:rsidR="00E27D9F" w:rsidRDefault="00E27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9931260"/>
      <w:docPartObj>
        <w:docPartGallery w:val="Page Numbers (Bottom of Page)"/>
        <w:docPartUnique/>
      </w:docPartObj>
    </w:sdtPr>
    <w:sdtContent>
      <w:p w14:paraId="251229F6" w14:textId="77777777" w:rsidR="00D81C49" w:rsidRDefault="00000000">
        <w:pPr>
          <w:pStyle w:val="Pidipagina"/>
          <w:jc w:val="right"/>
        </w:pPr>
        <w:r>
          <w:fldChar w:fldCharType="begin"/>
        </w:r>
        <w:r>
          <w:instrText>PAGE   \* MERGEFORMAT</w:instrText>
        </w:r>
        <w:r>
          <w:fldChar w:fldCharType="separate"/>
        </w:r>
        <w:r>
          <w:t>2</w:t>
        </w:r>
        <w:r>
          <w:fldChar w:fldCharType="end"/>
        </w:r>
      </w:p>
    </w:sdtContent>
  </w:sdt>
  <w:p w14:paraId="44E07698" w14:textId="77777777" w:rsidR="00D81C49" w:rsidRDefault="00D81C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DFE983" w14:textId="77777777" w:rsidR="00E27D9F" w:rsidRDefault="00E27D9F">
      <w:pPr>
        <w:spacing w:after="0" w:line="240" w:lineRule="auto"/>
      </w:pPr>
      <w:r>
        <w:separator/>
      </w:r>
    </w:p>
  </w:footnote>
  <w:footnote w:type="continuationSeparator" w:id="0">
    <w:p w14:paraId="3ACE925D" w14:textId="77777777" w:rsidR="00E27D9F" w:rsidRDefault="00E27D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A3093"/>
    <w:multiLevelType w:val="hybridMultilevel"/>
    <w:tmpl w:val="8E862B5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945E5"/>
    <w:multiLevelType w:val="hybridMultilevel"/>
    <w:tmpl w:val="497A57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F381384"/>
    <w:multiLevelType w:val="hybridMultilevel"/>
    <w:tmpl w:val="449A35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00B1625"/>
    <w:multiLevelType w:val="hybridMultilevel"/>
    <w:tmpl w:val="9FF27F76"/>
    <w:lvl w:ilvl="0" w:tplc="F27ADF14">
      <w:numFmt w:val="bullet"/>
      <w:lvlText w:val="-"/>
      <w:lvlJc w:val="left"/>
      <w:pPr>
        <w:ind w:left="720" w:hanging="360"/>
      </w:pPr>
      <w:rPr>
        <w:rFonts w:ascii="Garamond" w:eastAsiaTheme="minorHAnsi" w:hAnsi="Garamond"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64459924">
    <w:abstractNumId w:val="3"/>
  </w:num>
  <w:num w:numId="2" w16cid:durableId="82386822">
    <w:abstractNumId w:val="1"/>
  </w:num>
  <w:num w:numId="3" w16cid:durableId="1636596778">
    <w:abstractNumId w:val="2"/>
  </w:num>
  <w:num w:numId="4" w16cid:durableId="1985040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2"/>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01C"/>
    <w:rsid w:val="00010D29"/>
    <w:rsid w:val="00084AC3"/>
    <w:rsid w:val="000D301C"/>
    <w:rsid w:val="001B7BC8"/>
    <w:rsid w:val="00256B7E"/>
    <w:rsid w:val="00276594"/>
    <w:rsid w:val="004106F0"/>
    <w:rsid w:val="004D3970"/>
    <w:rsid w:val="004F1510"/>
    <w:rsid w:val="005A7D0E"/>
    <w:rsid w:val="00701612"/>
    <w:rsid w:val="0073691F"/>
    <w:rsid w:val="007850C6"/>
    <w:rsid w:val="007E436D"/>
    <w:rsid w:val="00B11176"/>
    <w:rsid w:val="00C23130"/>
    <w:rsid w:val="00C837AA"/>
    <w:rsid w:val="00C8731C"/>
    <w:rsid w:val="00CF05F8"/>
    <w:rsid w:val="00D81C49"/>
    <w:rsid w:val="00E27D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5B9FA"/>
  <w15:chartTrackingRefBased/>
  <w15:docId w15:val="{32F04C1F-4068-445A-85CC-DC53E5840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D301C"/>
    <w:pPr>
      <w:spacing w:after="200" w:line="276" w:lineRule="auto"/>
    </w:pPr>
    <w:rPr>
      <w:kern w:val="0"/>
      <w14:ligatures w14:val="none"/>
    </w:rPr>
  </w:style>
  <w:style w:type="paragraph" w:styleId="Titolo1">
    <w:name w:val="heading 1"/>
    <w:basedOn w:val="Normale"/>
    <w:next w:val="Normale"/>
    <w:link w:val="Titolo1Carattere"/>
    <w:uiPriority w:val="9"/>
    <w:qFormat/>
    <w:rsid w:val="000D30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0D30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0D301C"/>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0D301C"/>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0D301C"/>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0D301C"/>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D301C"/>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D301C"/>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D301C"/>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D301C"/>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0D301C"/>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0D301C"/>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0D301C"/>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0D301C"/>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0D301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D301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D301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D301C"/>
    <w:rPr>
      <w:rFonts w:eastAsiaTheme="majorEastAsia" w:cstheme="majorBidi"/>
      <w:color w:val="272727" w:themeColor="text1" w:themeTint="D8"/>
    </w:rPr>
  </w:style>
  <w:style w:type="paragraph" w:styleId="Titolo">
    <w:name w:val="Title"/>
    <w:basedOn w:val="Normale"/>
    <w:next w:val="Normale"/>
    <w:link w:val="TitoloCarattere"/>
    <w:uiPriority w:val="10"/>
    <w:qFormat/>
    <w:rsid w:val="000D30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D301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D301C"/>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D301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D301C"/>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0D301C"/>
    <w:rPr>
      <w:i/>
      <w:iCs/>
      <w:color w:val="404040" w:themeColor="text1" w:themeTint="BF"/>
    </w:rPr>
  </w:style>
  <w:style w:type="paragraph" w:styleId="Paragrafoelenco">
    <w:name w:val="List Paragraph"/>
    <w:basedOn w:val="Normale"/>
    <w:uiPriority w:val="34"/>
    <w:qFormat/>
    <w:rsid w:val="000D301C"/>
    <w:pPr>
      <w:ind w:left="720"/>
      <w:contextualSpacing/>
    </w:pPr>
  </w:style>
  <w:style w:type="character" w:styleId="Enfasiintensa">
    <w:name w:val="Intense Emphasis"/>
    <w:basedOn w:val="Carpredefinitoparagrafo"/>
    <w:uiPriority w:val="21"/>
    <w:qFormat/>
    <w:rsid w:val="000D301C"/>
    <w:rPr>
      <w:i/>
      <w:iCs/>
      <w:color w:val="0F4761" w:themeColor="accent1" w:themeShade="BF"/>
    </w:rPr>
  </w:style>
  <w:style w:type="paragraph" w:styleId="Citazioneintensa">
    <w:name w:val="Intense Quote"/>
    <w:basedOn w:val="Normale"/>
    <w:next w:val="Normale"/>
    <w:link w:val="CitazioneintensaCarattere"/>
    <w:uiPriority w:val="30"/>
    <w:qFormat/>
    <w:rsid w:val="000D30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D301C"/>
    <w:rPr>
      <w:i/>
      <w:iCs/>
      <w:color w:val="0F4761" w:themeColor="accent1" w:themeShade="BF"/>
    </w:rPr>
  </w:style>
  <w:style w:type="character" w:styleId="Riferimentointenso">
    <w:name w:val="Intense Reference"/>
    <w:basedOn w:val="Carpredefinitoparagrafo"/>
    <w:uiPriority w:val="32"/>
    <w:qFormat/>
    <w:rsid w:val="000D301C"/>
    <w:rPr>
      <w:b/>
      <w:bCs/>
      <w:smallCaps/>
      <w:color w:val="0F4761" w:themeColor="accent1" w:themeShade="BF"/>
      <w:spacing w:val="5"/>
    </w:rPr>
  </w:style>
  <w:style w:type="paragraph" w:styleId="Pidipagina">
    <w:name w:val="footer"/>
    <w:basedOn w:val="Normale"/>
    <w:link w:val="PidipaginaCarattere"/>
    <w:uiPriority w:val="99"/>
    <w:unhideWhenUsed/>
    <w:rsid w:val="000D30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D301C"/>
    <w:rPr>
      <w:kern w:val="0"/>
      <w14:ligatures w14:val="none"/>
    </w:rPr>
  </w:style>
  <w:style w:type="paragraph" w:styleId="Testonormale">
    <w:name w:val="Plain Text"/>
    <w:basedOn w:val="Normale"/>
    <w:link w:val="TestonormaleCarattere"/>
    <w:uiPriority w:val="99"/>
    <w:semiHidden/>
    <w:unhideWhenUsed/>
    <w:rsid w:val="00CF05F8"/>
    <w:pPr>
      <w:spacing w:after="0" w:line="240" w:lineRule="auto"/>
    </w:pPr>
    <w:rPr>
      <w:rFonts w:ascii="Calibri" w:eastAsia="Times New Roman" w:hAnsi="Calibri"/>
      <w:kern w:val="2"/>
      <w:szCs w:val="21"/>
      <w14:ligatures w14:val="standardContextual"/>
    </w:rPr>
  </w:style>
  <w:style w:type="character" w:customStyle="1" w:styleId="TestonormaleCarattere">
    <w:name w:val="Testo normale Carattere"/>
    <w:basedOn w:val="Carpredefinitoparagrafo"/>
    <w:link w:val="Testonormale"/>
    <w:uiPriority w:val="99"/>
    <w:semiHidden/>
    <w:rsid w:val="00CF05F8"/>
    <w:rPr>
      <w:rFonts w:ascii="Calibri" w:eastAsia="Times New Roman" w:hAnsi="Calibri"/>
      <w:szCs w:val="21"/>
    </w:rPr>
  </w:style>
  <w:style w:type="paragraph" w:styleId="NormaleWeb">
    <w:name w:val="Normal (Web)"/>
    <w:basedOn w:val="Normale"/>
    <w:uiPriority w:val="99"/>
    <w:unhideWhenUsed/>
    <w:rsid w:val="004106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4106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194799">
      <w:bodyDiv w:val="1"/>
      <w:marLeft w:val="0"/>
      <w:marRight w:val="0"/>
      <w:marTop w:val="0"/>
      <w:marBottom w:val="0"/>
      <w:divBdr>
        <w:top w:val="none" w:sz="0" w:space="0" w:color="auto"/>
        <w:left w:val="none" w:sz="0" w:space="0" w:color="auto"/>
        <w:bottom w:val="none" w:sz="0" w:space="0" w:color="auto"/>
        <w:right w:val="none" w:sz="0" w:space="0" w:color="auto"/>
      </w:divBdr>
    </w:div>
    <w:div w:id="161752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APPALTI\1_2024\AGEA_3_1_Quadro_Sanzionatorio_18_04_24\DM_10255.pdf" TargetMode="External"/><Relationship Id="rId3" Type="http://schemas.openxmlformats.org/officeDocument/2006/relationships/settings" Target="settings.xml"/><Relationship Id="rId7" Type="http://schemas.openxmlformats.org/officeDocument/2006/relationships/hyperlink" Target="DM_10255.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4</Pages>
  <Words>1510</Words>
  <Characters>8608</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Gianpaolo Colletta</dc:creator>
  <cp:keywords/>
  <dc:description/>
  <cp:lastModifiedBy>Gianpaolo Colletta</cp:lastModifiedBy>
  <cp:revision>11</cp:revision>
  <dcterms:created xsi:type="dcterms:W3CDTF">2024-05-07T05:20:00Z</dcterms:created>
  <dcterms:modified xsi:type="dcterms:W3CDTF">2024-05-09T16:26:00Z</dcterms:modified>
</cp:coreProperties>
</file>