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53" w:after="0" w:line="240"/>
        <w:ind w:right="0" w:left="0" w:firstLine="0"/>
        <w:jc w:val="left"/>
        <w:rPr>
          <w:rFonts w:ascii="Times New Roman" w:hAnsi="Times New Roman" w:cs="Times New Roman" w:eastAsia="Times New Roman"/>
          <w:color w:val="00000A"/>
          <w:spacing w:val="0"/>
          <w:position w:val="0"/>
          <w:sz w:val="22"/>
          <w:shd w:fill="auto" w:val="clear"/>
        </w:rPr>
      </w:pPr>
    </w:p>
    <w:p>
      <w:pPr>
        <w:suppressAutoHyphens w:val="true"/>
        <w:spacing w:before="0" w:after="12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D.D.G. n. 2716</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REPUBBLICA ITALIANA</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Regione Siciliana</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Assessorato Regionale dell’Agricoltura, dello Sviluppo Rurale e della Pesca Mediterranea</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Dipartimento Regionale dell’Agricoltura</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Area 3 - Coordinamento e gestione del piano di sviluppo rurale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IL DIRIGENTE GENERALE</w:t>
      </w:r>
    </w:p>
    <w:p>
      <w:pPr>
        <w:suppressAutoHyphens w:val="true"/>
        <w:spacing w:before="53" w:after="0" w:line="240"/>
        <w:ind w:right="0" w:left="0" w:firstLine="0"/>
        <w:jc w:val="left"/>
        <w:rPr>
          <w:rFonts w:ascii="Times New Roman" w:hAnsi="Times New Roman" w:cs="Times New Roman" w:eastAsia="Times New Roman"/>
          <w:color w:val="00000A"/>
          <w:spacing w:val="0"/>
          <w:position w:val="0"/>
          <w:sz w:val="22"/>
          <w:shd w:fill="auto" w:val="clear"/>
        </w:rPr>
      </w:pP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lo Statuto della Regione Siciliana;</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D.P.Reg. n. 70 del 28 febbraio 1979 che approva il Testo Unico delle leggi sull'ordinamento del Governo e dell'Amministrazione della Regione siciliana;</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VISTA la Legge Regionale n. 47 dell’8 luglio 1977 “Norme in materia di bilancio e contabilità della Regione Siciliana” e ss. mm. e ii.;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VISTA la Legge Regionale 25 maggio 2000, n. 10 e ss.mm.e ii.;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D.Lgs. n. 118 del 23 giugno 2011 “Disposizioni in materia di armonizzazione dei sistemi contabili e degli schemi di bilancio delle Regioni, degli Enti locali e dei loro organismi, a norma degli articoli 1 e 2 della legge 5 maggio 2009, n.42”, e ss. mm. e ii.;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VISTA la Legge Regionale n. 3 del 13 gennaio 2015 ed in particolare l’art. 11, con il quale viene recepito in Sicilia il dettato normativo del citato D.Lgs. n. 118/2011, e ss. mm. e ii;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sul Fondo europeo agricolo per lo sviluppo rurale e sul Fondo europeo per gli affari marittimi e la pesca, e che abroga il regolamento (CE) n. 1083/2006 del Consiglio; </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1305/2013 del Parlamento Europeo e del Consiglio sul sostegno allo sviluppo rurale da parte del Fondo europeo agricolo per lo sviluppo rurale (FEASR) e che abroga il regolamento (CE) n. 1698/2005 del Consiglio;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1306/2013 del Parlamento Europeo e del Consiglio sul finanziamento, sulla gestione e sul monitoraggio della politica agricola comune e che abroga i regolamenti del Consiglio (CE) n. 352/78, (CE) n. 165/94, (CE) n. 2799/98, (CE) n. 814/2000, (CE) n. 1290/2005 e (CE) n. 485/2008;</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1307/2013 del Parlamento Europeo e del Consiglio recante norme sui pagamenti diretti agli agricoltori nell'ambito dei regimi di sostegno previsti dalla politica agricola comune e che abroga il regolamento (CE) n. 637/2008 del Consiglio e il regolamento (CE) n. 73/2009 del Consiglio;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2017/2393 del Parlamento Europe o e del Consiglio del 13 Dicembre 2017, che modifica i regolamenti (UE) n. 1305/2013, (UE) n. 1306/2013, (UE) n. 1307/2013, (UE) n. 1308/2013 e (UE) n. 652/2014; </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delegato (UE) n. 640/2014 della Commissione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 </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delegato (UE) n. 807/2014 della Commissione che integra talune disposizioni del regolamento (UE) N. 1305/2013 del Parlamento Europeo e del Consiglio sul sostegno allo sviluppo rurale da parte del Fondo europeo agricolo per lo sviluppo rurale (FEASR) e che  introduce disposizioni transitorie;</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di esecuzione (UE) n. 808/2014 della Commissione recante modalità di applicazione del regolamento (UE) n. 1305/2013 del Parlamento Europeo e del Consiglio sul sostegno allo sviluppo rurale da parte del Fondo europeo agricolo per lo sviluppo rurale (FEASR);</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di esecuzione (UE) 2016/669 della Commissione del 28 aprile 2016 che modifica il regolamento di esecuzione (UE) n. 808/2014 per quanto riguarda la modifica e il contenuto dei programmi di sviluppo rurale, la pubblicità di questi programmi e i tassi di conversione in unità di bestiame adulto;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di esecuzione (UE) n. 809/2014 della Commissione recante modalità di applicazione del Regolamento (UE) n. 1306/2013 del Parlamento Europeo e del Consiglio per quanto riguarda il sistema integrato di gestione e di controllo, le misure di sviluppo rurale e la condizionalità;</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di esecuzione (UE) 2017/1242 della Commissione del 10 luglio 2017, che modifica il regolamento di esecuzione (UE) n. 809/2014, recante modalità di applicazione del regolamento (UE) n. 1306/2013 del Parlamento europeo e del Consiglio, per quanto riguarda il sistema integrato di gestione e di controllo, le misure di sviluppo rurale e la condizionalità; </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delegato (UE) n. 907/2014 della Commissione che integra il regolamento (UE) n. 1306/2013 del Parlamento Europeo e del Consiglio per quanto riguarda gli organismi pagatori e altri organismi, la gestione finanziaria, la liquidazione dei conti, le cauzioni e l’uso dell’euro;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di esecuzione (UE) n. 908/2014 della Commissione recante modalità di applicazione del regolamento (UE) n. 1306/2013 del Parlamento Europeo e del Consiglio per quanto riguarda gli organismi pagatori e altri organismi, la gestione finanziaria, la liquidazione dei conti, le norme sui controlli, le cauzioni e la trasparenza;</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di esecuzione (UE) n. 834/2014 della Commissione che stabilisce norme per l'applicazione del quadro comune di monitoraggio e valutazione della politica agricola comune;</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 </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Trattato sul funzionamento dell’Unione europea pubblicato nella Gazzetta ufficiale dell’Unione Europea C 326 del 26/10/2012;</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2015/1588 del Consiglio del 13/07/2015 sull’applicazione degli artt. 107 e 108 del Trattato sul funzionamento dell’Unione europea a determinate categorie di aiuto di Stato orizzontali;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n.2015/1589 del Consiglio del 13/07/2015 recante modalità di applicazione dell’art. 108 del Trattato sul funzionamento dell’Unione Europea;</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gli Orientamenti in materia di aiuti di Stato a finalità regionale 2014/2020 (2013/C 209/01);</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VISTA la Carta degli aiuti di Stato a finalità regionale 2014-2020 – aiuto di Stato SA.38930;</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1407/2013 della Commissione del 18 dicembre 2013  relativo all’applicazione degli articoli 107 e 108 del trattato sul funzionamento dell’Unione europea agli aiuti «de minimis»;</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Regolamento (UE) n. 651/2014 della Commissione che dichiara alcune categorie di aiuti compatibili con il mercato interno in applicazione degli articoli 107 e 108 del trattato;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D.P.R. n. 503 del 01/12/1999 recante norme per l'istituzione della Carta dell'agricoltore e del pescatore e dell'anagrafe delle aziende agricole, in attuazione dell'articolo 14, comma 3, del D.Lgs. 30 aprile 1998, n. 173;</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Programma di Sviluppo Rurale della Regione Sicilia – PSR Sicilia 2014/2020, approvato dalla Commissione Europea con Decisione (C) 2015 n. 8403 del 24.11.2015, successivamente  modificato  con decisioni C(2016) n. 8969 del 20/12/2016,  C(2017) 7946 final del 27.11.2017,  C(2018) 615 final del 30 gennaio 2018 (Versione 4.0) e C(2018) 8342 final del 3 dicembre 2018 (Versione 5.0);</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VISTI i Decreti legislativi 27/05/1999, n. 165 e 15 giugno 2000, n. 188 che attribuiscono all’Agenzia per le Erogazioni in Agricoltura (AGEA), con sede in Roma, la qualifica di Organismo Pagatore delle disposizioni comunitarie a carico del FEAGA e del FEASR;</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CONSIDERATO che è attribuita al Dirigente Generale del Dipartimento Regionale dell'Agricoltura dell'Assessorato Regionale dell'Agricoltura dello Sviluppo Rurale e della Pesca Mediterranea la qualifica di Autorità di Gestione del Programma medesimo;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Decreto Presidente della Regione n. 2586 del 06/05/2019 con il quale è stato conferito al dott. Dario Cartabellotta, in esecuzione della delibera di Giunta n. 140 del 17 aprile 2019, l'incarico di Dirigente Generale del Dipartimento regionale dell'Agricoltura dell'Assessorato Regionale dell'Agricoltura, dello Sviluppo Rurale e della Pesca Mediterranea;</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D.P.Reg. n.12 del 27 giugno del 2019 recante “Regolamento di attuazione del Titolo II della l.r. 16 dicembre 2008, n. 19. Rimodulazione degli assetti organizzativi dei Dipartimenti Regionali ai sensi dell’art. 13, comma 3 della l.r. 17 marzo 2016, n. 3. Modifica del D.P.Reg. 18 gennaio 2013, n. 6 e ss.mm. e ii.”;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VISTE le Disposizioni attuative e procedurali per le misure di sviluppo rurale non connesse alla superficie o agli animali parte generale PSR Sicilia 2014/2020 di cui al D.D.G. n. 2163 del 30/03/2016;</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VISTE le Disposizioni attuative e procedurali specifiche delle Misure/Sottomisure/Operazioni del PSR Sicilia 2014-2020, approvati con i rispettivi provvedimenti;</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VISTO Il D.D.G. n. 2636 del 16/10/2019 con il quale è stata approvata la modifica al punto 2.4.3 “Formulazione delle graduatorie” delle Disposizioni attuative e procedurali per le misure di sviluppo rurale non connesse alla superficie o agli animali parte generale PSR Sicilia 2014/2020 di cui al D.D.G. n. 2163 del 30/03/2016;</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CONSIDERATO che nel predetto D.D.G. n. 2636/2019 di approvazione modifica del punto 2.4.3 “Formulazione delle graduatorie” delle Disposizioni attuative, è stato rilevato all’art. 1 un errore materiale di digitazione nella formulazione del testo;</w:t>
      </w:r>
    </w:p>
    <w:p>
      <w:pPr>
        <w:tabs>
          <w:tab w:val="left" w:pos="16777036" w:leader="none"/>
          <w:tab w:val="left" w:pos="0" w:leader="none"/>
        </w:tabs>
        <w:suppressAutoHyphens w:val="true"/>
        <w:spacing w:before="0" w:after="0" w:line="240"/>
        <w:ind w:right="0" w:left="709" w:hanging="709"/>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RITENUTO di dovere apportare la correzione “Errata corrige” al testo riportato all’art. 1 del predetto D.D.G. n. 2636/2019;</w:t>
      </w: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DECRETA</w:t>
      </w: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Art. 1</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Per le motivazioni di cui in premessa, che qui si intendono integralmente richiamate e trascritte, è apportata la correzione “Errata corrige” all’art. 1 del D.D.G. n. 2636 del 16/10/2019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di approvazione modifica delle Disposizioni attuative e procedurali per le misure di sviluppo rurale non connesse alla superficie o agli animali parte generale PSR Sicilia 2014/2020 di cui al D.D.G. n. 2163 del 30/03/2016.</w:t>
      </w:r>
    </w:p>
    <w:p>
      <w:pPr>
        <w:numPr>
          <w:ilvl w:val="0"/>
          <w:numId w:val="12"/>
        </w:numPr>
        <w:tabs>
          <w:tab w:val="left" w:pos="720" w:leader="none"/>
          <w:tab w:val="left" w:pos="16776790" w:leader="none"/>
        </w:tabs>
        <w:spacing w:before="0" w:after="0" w:line="240"/>
        <w:ind w:right="0" w:left="284" w:hanging="284"/>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punto 2.4.3 “Formulazione delle graduatorie” delle predette Disposizioni è così parzialmente modificato: </w:t>
      </w:r>
      <w:r>
        <w:rPr>
          <w:rFonts w:ascii="Times New Roman" w:hAnsi="Times New Roman" w:cs="Times New Roman" w:eastAsia="Times New Roman"/>
          <w:b/>
          <w:color w:val="000000"/>
          <w:spacing w:val="0"/>
          <w:position w:val="0"/>
          <w:sz w:val="22"/>
          <w:shd w:fill="auto" w:val="clear"/>
        </w:rPr>
        <w:t xml:space="preserve">“Tutti gli interessati, entro i successivi 15 giorni dalla data di pubblicazione degli elenchi provvisori, potranno richiedere agli uffici preposti alla fase di istruttoria dell’Assessorato Regionale dell’Agricoltura, dello Sviluppo Rurale e della Pesca Mediterranea della Regione Siciliana cui compete la gestione della misura, con apposite memorie, il riesame del punteggio attribuito, nonché la verifica delle condizioni di esclusione o di non ricevibilità”</w:t>
      </w:r>
      <w:r>
        <w:rPr>
          <w:rFonts w:ascii="Times New Roman" w:hAnsi="Times New Roman" w:cs="Times New Roman" w:eastAsia="Times New Roman"/>
          <w:color w:val="000000"/>
          <w:spacing w:val="0"/>
          <w:position w:val="0"/>
          <w:sz w:val="22"/>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predetta modifica si applica anche a tutte le Disposizioni attuative e procedurali specifiche delle Misure/Sottomisure/Operazioni del PSR Sicilia 2014-2020, approvate con i rispettivi provvedimenti.</w:t>
      </w:r>
    </w:p>
    <w:p>
      <w:pPr>
        <w:spacing w:before="0" w:after="0" w:line="240"/>
        <w:ind w:right="0" w:left="0" w:firstLine="0"/>
        <w:jc w:val="both"/>
        <w:rPr>
          <w:rFonts w:ascii="EUAlbertina" w:hAnsi="EUAlbertina" w:cs="EUAlbertina" w:eastAsia="EUAlbertina"/>
          <w:color w:val="000000"/>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presente provvedimento sarà pubblicato nel sito istituzionale del Dipartimento Regionale dell’Agricoltura ai sensi dell’art. 68 della L.R. 21/2014 e s.m. e i. (art. 98 L.R. n. 9/2015), nel sito del PSR Sicilia 2014-2020 e, per estratto, nella Gazzetta Ufficiale della Regione Siciliana.</w:t>
      </w:r>
    </w:p>
    <w:p>
      <w:pPr>
        <w:suppressAutoHyphens w:val="true"/>
        <w:spacing w:before="0" w:after="0" w:line="288"/>
        <w:ind w:right="0"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40"/>
        <w:ind w:right="0" w:left="0" w:firstLine="142"/>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Palermo, 23/10/2019</w:t>
        <w:tab/>
        <w:tab/>
      </w:r>
    </w:p>
    <w:p>
      <w:pPr>
        <w:suppressAutoHyphens w:val="true"/>
        <w:spacing w:before="0" w:after="0" w:line="240"/>
        <w:ind w:right="0" w:left="0" w:firstLine="708"/>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ab/>
        <w:tab/>
        <w:tab/>
        <w:t xml:space="preserve">                                                                F.to IL DIRIGENTE GENERALE</w:t>
      </w:r>
    </w:p>
    <w:p>
      <w:pPr>
        <w:suppressAutoHyphens w:val="true"/>
        <w:spacing w:before="0" w:after="0" w:line="240"/>
        <w:ind w:right="0" w:left="0" w:firstLine="0"/>
        <w:jc w:val="center"/>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ab/>
        <w:tab/>
        <w:tab/>
        <w:t xml:space="preserve">                                                                 Dario Cartabellotta</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