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media/image3.png" ContentType="image/png"/>
  <Override PartName="/word/media/image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919" w:type="dxa"/>
        <w:jc w:val="left"/>
        <w:tblInd w:w="-15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60"/>
        <w:gridCol w:w="4580"/>
        <w:gridCol w:w="949"/>
        <w:gridCol w:w="1729"/>
      </w:tblGrid>
      <w:tr>
        <w:trPr/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widowControl w:val="false"/>
              <w:jc w:val="center"/>
              <w:textAlignment w:val="baseline"/>
              <w:rPr>
                <w:b/>
                <w:b/>
                <w:kern w:val="2"/>
                <w:lang w:bidi="en-US"/>
              </w:rPr>
            </w:pPr>
            <w:r>
              <w:rPr>
                <w:b/>
                <w:kern w:val="2"/>
                <w:lang w:bidi="en-US"/>
              </w:rPr>
              <w:t>AUTOVALUTAZIONE DEL BENEFICIARIO</w:t>
            </w:r>
          </w:p>
          <w:p>
            <w:pPr>
              <w:pStyle w:val="Normal"/>
              <w:widowControl w:val="false"/>
              <w:jc w:val="center"/>
              <w:textAlignment w:val="baseline"/>
              <w:rPr/>
            </w:pPr>
            <w:r>
              <w:rPr>
                <w:b/>
                <w:kern w:val="2"/>
                <w:lang w:bidi="en-US"/>
              </w:rPr>
              <w:t>Misura 6.2 – GAL EtnaSud</w:t>
            </w:r>
          </w:p>
        </w:tc>
      </w:tr>
      <w:tr>
        <w:trPr>
          <w:trHeight w:val="1054" w:hRule="atLeast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right="-66" w:hang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  <w:lang w:bidi="en-US"/>
              </w:rPr>
              <w:t>Riferimento ai principi dei criteri di selezione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  <w:lang w:bidi="en-US"/>
              </w:rPr>
              <w:t>Descrizione criterio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b/>
                <w:b/>
                <w:kern w:val="2"/>
                <w:sz w:val="22"/>
                <w:szCs w:val="22"/>
                <w:lang w:bidi="en-US"/>
              </w:rPr>
            </w:pPr>
            <w:r>
              <w:rPr>
                <w:b/>
                <w:kern w:val="2"/>
                <w:sz w:val="22"/>
                <w:szCs w:val="22"/>
                <w:lang w:bidi="en-US"/>
              </w:rPr>
              <w:t>Punteggio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  <w:lang w:bidi="en-US"/>
              </w:rPr>
              <w:t>massimo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  <w:lang w:bidi="en-US"/>
              </w:rPr>
              <w:t>Punteggio auto-attribuito</w:t>
            </w:r>
          </w:p>
        </w:tc>
      </w:tr>
      <w:tr>
        <w:trPr>
          <w:trHeight w:val="552" w:hRule="atLeast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extAlignment w:val="baseline"/>
              <w:rPr/>
            </w:pPr>
            <w:r>
              <w:rPr>
                <w:kern w:val="2"/>
                <w:lang w:bidi="en-US"/>
              </w:rPr>
              <w:t>Soggetti giovani (18-40 anni) e donne</w:t>
            </w:r>
          </w:p>
          <w:p>
            <w:pPr>
              <w:pStyle w:val="Normal"/>
              <w:widowControl w:val="false"/>
              <w:textAlignment w:val="baseline"/>
              <w:rPr/>
            </w:pPr>
            <w:r>
              <w:rPr>
                <w:kern w:val="2"/>
                <w:lang w:bidi="en-US"/>
              </w:rPr>
              <w:t>(max 20 punti)</w:t>
            </w:r>
          </w:p>
          <w:p>
            <w:pPr>
              <w:pStyle w:val="Normal"/>
              <w:widowControl w:val="false"/>
              <w:ind w:right="-66" w:hanging="0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240" w:after="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Età fino a 40: età del proponente o in caso di società di persone o cooperativa ≥ 50% dei soci rappresentato da giovani. In caso di società di capitali: la maggioranza del capitale sociale deve essere detenuto da giovani (requisito in possesso al momento della presentazione della domanda).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12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right="-23" w:hanging="0"/>
              <w:textAlignment w:val="baseline"/>
              <w:rPr/>
            </w:pPr>
            <w:r>
              <w:rPr/>
            </w:r>
          </w:p>
        </w:tc>
      </w:tr>
      <w:tr>
        <w:trPr>
          <w:trHeight w:val="380" w:hRule="atLeast"/>
        </w:trPr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eastAsia="Segoe UI"/>
                <w:color w:val="000000"/>
                <w:kern w:val="2"/>
                <w:lang w:bidi="en-US"/>
              </w:rPr>
            </w:pPr>
            <w:r>
              <w:rPr>
                <w:rFonts w:eastAsia="Segoe UI"/>
                <w:color w:val="000000"/>
                <w:kern w:val="2"/>
                <w:lang w:bidi="en-US"/>
              </w:rPr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Conduttore donna o, in caso di società di persone o cooperative, percentuale dei soci rappresentata da donne ≥50%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8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/>
            </w:r>
          </w:p>
        </w:tc>
      </w:tr>
      <w:tr>
        <w:trPr>
          <w:trHeight w:val="2702" w:hRule="atLeast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66" w:hanging="0"/>
              <w:textAlignment w:val="baseline"/>
              <w:rPr/>
            </w:pPr>
            <w:r>
              <w:rPr>
                <w:kern w:val="2"/>
                <w:lang w:bidi="en-US"/>
              </w:rPr>
              <w:t>Esperienza del beneficiario</w:t>
            </w:r>
          </w:p>
          <w:p>
            <w:pPr>
              <w:pStyle w:val="Normal"/>
              <w:widowControl w:val="false"/>
              <w:ind w:right="-66" w:hanging="0"/>
              <w:textAlignment w:val="baseline"/>
              <w:rPr/>
            </w:pPr>
            <w:r>
              <w:rPr>
                <w:kern w:val="2"/>
                <w:lang w:bidi="en-US"/>
              </w:rPr>
              <w:t>(max  24 punti)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Soggetti che abbiano conseguito un titolo di studio di scuola media superiore o universitario da meno di 3 anni purché coerenti col progetto e connessi al Piano aziendale (max 15 punti)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276" w:before="0" w:after="200"/>
              <w:ind w:left="317" w:hanging="142"/>
              <w:contextualSpacing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Diploma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pacing w:lineRule="auto" w:line="276" w:before="0" w:after="200"/>
              <w:ind w:left="284" w:hanging="142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Laurea di 3 anni 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pacing w:lineRule="auto" w:line="276" w:before="0" w:after="200"/>
              <w:ind w:left="284" w:hanging="142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Laurea di 5 anni  o vecchio ordinamento</w:t>
            </w:r>
            <w:r>
              <w:rPr>
                <w:kern w:val="2"/>
                <w:sz w:val="16"/>
                <w:szCs w:val="16"/>
                <w:lang w:bidi="en-US"/>
              </w:rPr>
              <w:t>(*)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pacing w:lineRule="auto" w:line="276" w:before="0" w:after="200"/>
              <w:ind w:left="284" w:hanging="142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Specializzazioni o master biennali post laurea in materie connesse al Piano aziendale </w:t>
            </w:r>
            <w:r>
              <w:rPr>
                <w:kern w:val="2"/>
                <w:sz w:val="16"/>
                <w:szCs w:val="16"/>
                <w:lang w:bidi="en-US"/>
              </w:rPr>
              <w:t>(*)</w:t>
            </w:r>
          </w:p>
          <w:p>
            <w:pPr>
              <w:pStyle w:val="Normal"/>
              <w:widowControl w:val="false"/>
              <w:spacing w:before="120" w:after="0"/>
              <w:jc w:val="both"/>
              <w:textAlignment w:val="baseline"/>
              <w:rPr/>
            </w:pPr>
            <w:r>
              <w:rPr>
                <w:kern w:val="2"/>
                <w:sz w:val="16"/>
                <w:szCs w:val="16"/>
                <w:lang w:bidi="en-US"/>
              </w:rPr>
              <w:t xml:space="preserve">(*) </w:t>
            </w:r>
            <w:r>
              <w:rPr>
                <w:kern w:val="2"/>
                <w:sz w:val="20"/>
                <w:szCs w:val="20"/>
                <w:lang w:bidi="en-US"/>
              </w:rPr>
              <w:t>Punteggi cumulabili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-23" w:hanging="0"/>
              <w:jc w:val="center"/>
              <w:textAlignment w:val="baseline"/>
              <w:rPr>
                <w:rFonts w:eastAsia="Segoe UI"/>
                <w:b/>
                <w:b/>
                <w:color w:val="000000"/>
                <w:kern w:val="2"/>
                <w:lang w:bidi="en-US"/>
              </w:rPr>
            </w:pPr>
            <w:r>
              <w:rPr>
                <w:rFonts w:eastAsia="Segoe UI"/>
                <w:b/>
                <w:color w:val="000000"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rFonts w:eastAsia="Segoe UI"/>
                <w:b/>
                <w:b/>
                <w:color w:val="000000"/>
                <w:kern w:val="2"/>
                <w:lang w:bidi="en-US"/>
              </w:rPr>
            </w:pPr>
            <w:r>
              <w:rPr>
                <w:rFonts w:eastAsia="Segoe UI"/>
                <w:b/>
                <w:color w:val="000000"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rFonts w:eastAsia="Segoe UI"/>
                <w:b/>
                <w:b/>
                <w:color w:val="000000"/>
                <w:kern w:val="2"/>
                <w:lang w:bidi="en-US"/>
              </w:rPr>
            </w:pPr>
            <w:r>
              <w:rPr>
                <w:rFonts w:eastAsia="Segoe UI"/>
                <w:b/>
                <w:color w:val="000000"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b/>
                <w:b/>
                <w:kern w:val="2"/>
                <w:lang w:bidi="en-US"/>
              </w:rPr>
            </w:pPr>
            <w:r>
              <w:rPr>
                <w:b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b/>
                <w:b/>
                <w:kern w:val="2"/>
                <w:lang w:bidi="en-US"/>
              </w:rPr>
            </w:pPr>
            <w:r>
              <w:rPr>
                <w:b/>
                <w:kern w:val="2"/>
                <w:lang w:bidi="en-US"/>
              </w:rPr>
            </w:r>
          </w:p>
          <w:p>
            <w:pPr>
              <w:pStyle w:val="Normal"/>
              <w:widowControl w:val="false"/>
              <w:spacing w:before="120" w:after="0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4</w:t>
            </w:r>
          </w:p>
          <w:p>
            <w:pPr>
              <w:pStyle w:val="Normal"/>
              <w:widowControl w:val="false"/>
              <w:spacing w:before="240" w:after="0"/>
              <w:ind w:right="-23" w:hanging="0"/>
              <w:jc w:val="center"/>
              <w:textAlignment w:val="baseline"/>
              <w:rPr/>
            </w:pPr>
            <w:r>
              <w:rPr/>
              <w:t>7</w:t>
            </w:r>
          </w:p>
          <w:p>
            <w:pPr>
              <w:pStyle w:val="Normal"/>
              <w:widowControl w:val="false"/>
              <w:spacing w:before="240" w:after="0"/>
              <w:ind w:right="-23" w:hanging="0"/>
              <w:jc w:val="center"/>
              <w:textAlignment w:val="baseline"/>
              <w:rPr/>
            </w:pPr>
            <w:r>
              <w:rPr/>
              <w:t>10</w:t>
            </w:r>
          </w:p>
          <w:p>
            <w:pPr>
              <w:pStyle w:val="Normal"/>
              <w:widowControl w:val="false"/>
              <w:spacing w:before="480" w:after="0"/>
              <w:ind w:right="-23" w:hanging="0"/>
              <w:jc w:val="center"/>
              <w:textAlignment w:val="baseline"/>
              <w:rPr/>
            </w:pPr>
            <w:r>
              <w:rPr/>
              <w:t>6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/>
            </w:r>
          </w:p>
        </w:tc>
      </w:tr>
      <w:tr>
        <w:trPr>
          <w:trHeight w:val="1571" w:hRule="atLeast"/>
        </w:trPr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eastAsia="Segoe UI"/>
                <w:color w:val="000000"/>
                <w:kern w:val="2"/>
                <w:lang w:bidi="en-US"/>
              </w:rPr>
            </w:pPr>
            <w:r>
              <w:rPr>
                <w:rFonts w:eastAsia="Segoe UI"/>
                <w:color w:val="000000"/>
                <w:kern w:val="2"/>
                <w:lang w:bidi="en-US"/>
              </w:rPr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Esperienza lavorativa del beneficiario (coerenza curriculum con attività) (max 8 punti):</w:t>
            </w:r>
          </w:p>
          <w:p>
            <w:pPr>
              <w:pStyle w:val="Normal"/>
              <w:widowControl w:val="false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≥ </w:t>
            </w:r>
            <w:r>
              <w:rPr>
                <w:kern w:val="2"/>
                <w:lang w:bidi="en-US"/>
              </w:rPr>
              <w:t>6 mesi ≤ 12 mesi</w:t>
            </w:r>
          </w:p>
          <w:p>
            <w:pPr>
              <w:pStyle w:val="Normal"/>
              <w:widowControl w:val="false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&gt;12 mesi ≤ 18 mesi</w:t>
            </w:r>
          </w:p>
          <w:p>
            <w:pPr>
              <w:pStyle w:val="Normal"/>
              <w:widowControl w:val="false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&gt; 18 mesi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-23" w:hanging="0"/>
              <w:jc w:val="center"/>
              <w:textAlignment w:val="baseline"/>
              <w:rPr>
                <w:rFonts w:eastAsia="Segoe UI"/>
                <w:b/>
                <w:b/>
                <w:strike/>
                <w:color w:val="000000"/>
                <w:kern w:val="2"/>
                <w:lang w:bidi="en-US"/>
              </w:rPr>
            </w:pPr>
            <w:r>
              <w:rPr>
                <w:rFonts w:eastAsia="Segoe UI"/>
                <w:b/>
                <w:strike/>
                <w:color w:val="000000"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rFonts w:eastAsia="Segoe UI"/>
                <w:b/>
                <w:b/>
                <w:strike/>
                <w:color w:val="000000"/>
                <w:kern w:val="2"/>
                <w:lang w:bidi="en-US"/>
              </w:rPr>
            </w:pPr>
            <w:r>
              <w:rPr>
                <w:rFonts w:eastAsia="Segoe UI"/>
                <w:b/>
                <w:strike/>
                <w:color w:val="000000"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rFonts w:eastAsia="Segoe UI"/>
                <w:b/>
                <w:b/>
                <w:strike/>
                <w:color w:val="000000"/>
                <w:kern w:val="2"/>
                <w:lang w:bidi="en-US"/>
              </w:rPr>
            </w:pPr>
            <w:r>
              <w:rPr>
                <w:rFonts w:eastAsia="Segoe UI"/>
                <w:b/>
                <w:strike/>
                <w:color w:val="000000"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b/>
                <w:b/>
                <w:strike/>
                <w:kern w:val="2"/>
                <w:lang w:bidi="en-US"/>
              </w:rPr>
            </w:pPr>
            <w:r>
              <w:rPr>
                <w:b/>
                <w:strike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strike/>
                <w:kern w:val="2"/>
                <w:lang w:bidi="en-US"/>
              </w:rPr>
              <w:t>4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6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8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/>
            </w:r>
          </w:p>
        </w:tc>
      </w:tr>
      <w:tr>
        <w:trPr>
          <w:trHeight w:val="2400" w:hRule="atLeast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240" w:after="240"/>
              <w:textAlignment w:val="baseline"/>
              <w:rPr/>
            </w:pPr>
            <w:r>
              <w:rPr>
                <w:kern w:val="2"/>
                <w:lang w:bidi="en-US"/>
              </w:rPr>
              <w:t>Rispondenza ai criteri di sostenibilità energetica, ambientale degli interventi (max 10 punti)</w:t>
            </w:r>
          </w:p>
          <w:p>
            <w:pPr>
              <w:pStyle w:val="Normal"/>
              <w:widowControl w:val="false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Rispondenza ai criteri di sostenibilità energetica, ambientale degli interventi</w:t>
            </w:r>
          </w:p>
          <w:p>
            <w:pPr>
              <w:pStyle w:val="Normal"/>
              <w:widowControl w:val="false"/>
              <w:spacing w:before="120" w:after="0"/>
              <w:jc w:val="both"/>
              <w:textAlignment w:val="baseline"/>
              <w:rPr/>
            </w:pPr>
            <w:r>
              <w:rPr>
                <w:kern w:val="2"/>
                <w:u w:val="single"/>
                <w:lang w:bidi="en-US"/>
              </w:rPr>
              <w:t>Percentuale di risparmio</w:t>
            </w:r>
            <w:r>
              <w:rPr>
                <w:kern w:val="2"/>
                <w:lang w:bidi="en-US"/>
              </w:rPr>
              <w:t>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0" w:after="0"/>
              <w:ind w:left="284" w:right="-23" w:hanging="142"/>
              <w:contextualSpacing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Risparmio idrico, anche mediante limitatori di flusso per rubinetti, riutilizzo di acque meteoriche, impianti di fitodepurazione acque nere:</w:t>
            </w:r>
          </w:p>
          <w:p>
            <w:pPr>
              <w:pStyle w:val="Normal"/>
              <w:widowControl w:val="false"/>
              <w:ind w:left="317" w:right="-23" w:hanging="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≥ </w:t>
            </w:r>
            <w:r>
              <w:rPr>
                <w:kern w:val="2"/>
                <w:lang w:bidi="en-US"/>
              </w:rPr>
              <w:t>20% Punti 1</w:t>
            </w:r>
          </w:p>
          <w:p>
            <w:pPr>
              <w:pStyle w:val="Normal"/>
              <w:widowControl w:val="false"/>
              <w:ind w:left="317" w:right="-23" w:hanging="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≥ </w:t>
            </w:r>
            <w:r>
              <w:rPr>
                <w:kern w:val="2"/>
                <w:lang w:bidi="en-US"/>
              </w:rPr>
              <w:t>40% Ulteriori Punti 1,5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left="284" w:right="-23" w:hanging="142"/>
              <w:contextualSpacing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Risparmio energetico, anche mediante impianti di condizionamento ad elevata efficienza energetica:</w:t>
            </w:r>
          </w:p>
          <w:p>
            <w:pPr>
              <w:pStyle w:val="Normal"/>
              <w:widowControl w:val="false"/>
              <w:ind w:left="317" w:right="-23" w:hanging="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≥ </w:t>
            </w:r>
            <w:r>
              <w:rPr>
                <w:kern w:val="2"/>
                <w:lang w:bidi="en-US"/>
              </w:rPr>
              <w:t>20% Punti 1</w:t>
            </w:r>
          </w:p>
          <w:p>
            <w:pPr>
              <w:pStyle w:val="Normal"/>
              <w:widowControl w:val="false"/>
              <w:ind w:left="317" w:right="-23" w:hanging="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≥ </w:t>
            </w:r>
            <w:r>
              <w:rPr>
                <w:kern w:val="2"/>
                <w:lang w:bidi="en-US"/>
              </w:rPr>
              <w:t>40% Ulteriori Punti 1,5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120" w:after="200"/>
              <w:ind w:left="317" w:right="-23" w:hanging="142"/>
              <w:contextualSpacing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Riduzione emissioni in atmosfera anche mediante caldaie ad alto rendimento:</w:t>
            </w:r>
          </w:p>
          <w:p>
            <w:pPr>
              <w:pStyle w:val="Normal"/>
              <w:widowControl w:val="false"/>
              <w:spacing w:before="120" w:after="0"/>
              <w:ind w:left="317" w:right="-23" w:hanging="0"/>
              <w:contextualSpacing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≥ </w:t>
            </w:r>
            <w:r>
              <w:rPr>
                <w:kern w:val="2"/>
                <w:lang w:bidi="en-US"/>
              </w:rPr>
              <w:t>20% Punti 1</w:t>
            </w:r>
          </w:p>
          <w:p>
            <w:pPr>
              <w:pStyle w:val="Normal"/>
              <w:widowControl w:val="false"/>
              <w:ind w:left="317" w:right="-23" w:hanging="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≥ </w:t>
            </w:r>
            <w:r>
              <w:rPr>
                <w:kern w:val="2"/>
                <w:lang w:bidi="en-US"/>
              </w:rPr>
              <w:t>40% Ulteriori Punti 1,5</w:t>
            </w:r>
          </w:p>
          <w:p>
            <w:pPr>
              <w:pStyle w:val="Normal"/>
              <w:widowControl w:val="false"/>
              <w:ind w:right="-23" w:hanging="0"/>
              <w:textAlignment w:val="baseline"/>
              <w:rPr/>
            </w:pPr>
            <w:r>
              <w:rPr>
                <w:b/>
                <w:kern w:val="2"/>
                <w:lang w:bidi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textAlignment w:val="baseline"/>
              <w:rPr/>
            </w:pPr>
            <w:r>
              <w:rPr>
                <w:kern w:val="2"/>
                <w:u w:val="single"/>
                <w:lang w:bidi="en-US"/>
              </w:rPr>
              <w:t>Percentuale di spesa</w:t>
            </w:r>
            <w:r>
              <w:rPr>
                <w:kern w:val="2"/>
                <w:lang w:bidi="en-US"/>
              </w:rPr>
              <w:t xml:space="preserve">: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uppressAutoHyphens w:val="true"/>
              <w:spacing w:lineRule="auto" w:line="276" w:before="0" w:after="20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Investimenti finalizzati al miglioramento paesaggistico, mediante utilizzo di elementi </w:t>
            </w:r>
            <w:r>
              <w:rPr>
                <w:strike/>
                <w:kern w:val="2"/>
                <w:lang w:bidi="en-US"/>
              </w:rPr>
              <w:t xml:space="preserve"> </w:t>
            </w:r>
            <w:r>
              <w:rPr>
                <w:kern w:val="2"/>
                <w:lang w:bidi="en-US"/>
              </w:rPr>
              <w:t xml:space="preserve"> vegetali con funzione di schermatura, opere di mimetizzazione.</w:t>
            </w:r>
          </w:p>
          <w:p>
            <w:pPr>
              <w:pStyle w:val="Normal"/>
              <w:widowControl w:val="false"/>
              <w:spacing w:before="120" w:after="0"/>
              <w:ind w:left="459" w:right="-23" w:hanging="0"/>
              <w:textAlignment w:val="baseline"/>
              <w:rPr/>
            </w:pPr>
            <w:r>
              <w:rPr>
                <w:kern w:val="2"/>
                <w:lang w:bidi="en-US"/>
              </w:rPr>
              <w:t xml:space="preserve">≥ </w:t>
            </w:r>
            <w:r>
              <w:rPr>
                <w:kern w:val="2"/>
                <w:lang w:bidi="en-US"/>
              </w:rPr>
              <w:t>20% Punti 1</w:t>
            </w:r>
          </w:p>
          <w:p>
            <w:pPr>
              <w:pStyle w:val="Normal"/>
              <w:widowControl w:val="false"/>
              <w:ind w:left="459" w:right="-23" w:hanging="0"/>
              <w:textAlignment w:val="baseline"/>
              <w:rPr/>
            </w:pPr>
            <w:r>
              <w:rPr>
                <w:kern w:val="2"/>
                <w:lang w:bidi="en-US"/>
              </w:rPr>
              <w:t xml:space="preserve">≥ </w:t>
            </w:r>
            <w:r>
              <w:rPr>
                <w:kern w:val="2"/>
                <w:lang w:bidi="en-US"/>
              </w:rPr>
              <w:t>40% Ulteriori Punti 1,5</w:t>
            </w:r>
          </w:p>
          <w:p>
            <w:pPr>
              <w:pStyle w:val="Normal"/>
              <w:widowControl w:val="false"/>
              <w:jc w:val="both"/>
              <w:textAlignment w:val="baseline"/>
              <w:rPr>
                <w:b/>
                <w:b/>
                <w:kern w:val="2"/>
                <w:lang w:bidi="en-US"/>
              </w:rPr>
            </w:pPr>
            <w:r>
              <w:rPr>
                <w:b/>
                <w:kern w:val="2"/>
                <w:lang w:bidi="en-US"/>
              </w:rPr>
            </w:r>
          </w:p>
          <w:p>
            <w:pPr>
              <w:pStyle w:val="Normal"/>
              <w:widowControl w:val="false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Per ciascuno dei criteri di sostenibilità vengono assegnati al massimo 2,5 punti.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right="-23" w:hanging="0"/>
              <w:jc w:val="center"/>
              <w:textAlignment w:val="baseline"/>
              <w:rPr>
                <w:b/>
                <w:b/>
                <w:kern w:val="2"/>
                <w:lang w:bidi="en-US"/>
              </w:rPr>
            </w:pPr>
            <w:r>
              <w:rPr>
                <w:b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b/>
                <w:b/>
                <w:kern w:val="2"/>
                <w:lang w:bidi="en-US"/>
              </w:rPr>
            </w:pPr>
            <w:r>
              <w:rPr>
                <w:b/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b/>
                <w:b/>
                <w:kern w:val="2"/>
                <w:lang w:bidi="en-US"/>
              </w:rPr>
            </w:pPr>
            <w:r>
              <w:rPr>
                <w:b/>
                <w:kern w:val="2"/>
                <w:lang w:bidi="en-US"/>
              </w:rPr>
            </w:r>
          </w:p>
          <w:p>
            <w:pPr>
              <w:pStyle w:val="Normal"/>
              <w:widowControl w:val="false"/>
              <w:spacing w:before="960" w:after="0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1,5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spacing w:before="720" w:after="0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1,5</w:t>
            </w:r>
          </w:p>
          <w:p>
            <w:pPr>
              <w:pStyle w:val="Normal"/>
              <w:widowControl w:val="false"/>
              <w:spacing w:before="960" w:after="0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1,5</w:t>
            </w:r>
          </w:p>
          <w:p>
            <w:pPr>
              <w:pStyle w:val="Normal"/>
              <w:widowControl w:val="false"/>
              <w:spacing w:before="960" w:after="0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spacing w:before="960" w:after="0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1,5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textAlignment w:val="baseline"/>
              <w:rPr/>
            </w:pPr>
            <w:r>
              <w:rPr/>
            </w:r>
          </w:p>
        </w:tc>
      </w:tr>
      <w:tr>
        <w:trPr>
          <w:trHeight w:val="1231" w:hRule="atLeast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textAlignment w:val="baseline"/>
              <w:rPr/>
            </w:pPr>
            <w:r>
              <w:rPr>
                <w:kern w:val="2"/>
                <w:lang w:bidi="en-US"/>
              </w:rPr>
              <w:t xml:space="preserve">Capacità del PSA di generare occupazione </w:t>
            </w:r>
          </w:p>
          <w:p>
            <w:pPr>
              <w:pStyle w:val="Normal"/>
              <w:widowControl w:val="false"/>
              <w:spacing w:before="0" w:after="120"/>
              <w:textAlignment w:val="baseline"/>
              <w:rPr/>
            </w:pPr>
            <w:r>
              <w:rPr>
                <w:kern w:val="2"/>
                <w:lang w:bidi="en-US"/>
              </w:rPr>
              <w:t>(max 4 punti)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Posti di lavoro creati: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459" w:hanging="141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2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459" w:hanging="141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da 3 a 4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459" w:hanging="141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&gt; di 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360" w:after="0"/>
              <w:ind w:right="-23" w:hanging="0"/>
              <w:jc w:val="center"/>
              <w:textAlignment w:val="baseline"/>
              <w:rPr/>
            </w:pPr>
            <w:r>
              <w:rPr/>
              <w:t>1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3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/>
            </w:r>
          </w:p>
        </w:tc>
      </w:tr>
      <w:tr>
        <w:trPr>
          <w:trHeight w:val="3052" w:hRule="atLeast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240" w:after="0"/>
              <w:textAlignment w:val="baseline"/>
              <w:rPr/>
            </w:pPr>
            <w:r>
              <w:rPr>
                <w:kern w:val="2"/>
                <w:lang w:bidi="en-US"/>
              </w:rPr>
              <w:t>Servizi alla persona e introduzione di TIC con particolare attenzione al livello di innovatività del progetto</w:t>
            </w:r>
          </w:p>
          <w:p>
            <w:pPr>
              <w:pStyle w:val="Normal"/>
              <w:widowControl w:val="false"/>
              <w:spacing w:before="0" w:after="120"/>
              <w:textAlignment w:val="baseline"/>
              <w:rPr/>
            </w:pPr>
            <w:r>
              <w:rPr>
                <w:kern w:val="2"/>
                <w:lang w:bidi="en-US"/>
              </w:rPr>
              <w:t>(max 32 punti)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 xml:space="preserve">Imprese innovative di erogazione di servizi ad alto contenuto di TIC, </w:t>
            </w:r>
            <w:r>
              <w:rPr>
                <w:rFonts w:eastAsia="Thorndale"/>
                <w:kern w:val="2"/>
                <w:lang w:bidi="en-US"/>
              </w:rPr>
              <w:t xml:space="preserve">anche mediante attivazione di servizi di e-commerce, utilizzo di nuovi strumenti digitali, adozione di forme di promozione on line </w:t>
            </w:r>
            <w:r>
              <w:rPr>
                <w:kern w:val="2"/>
                <w:lang w:bidi="en-US"/>
              </w:rPr>
              <w:t>(il punteggio verrà assegnato in base alla percentuale di spesa in TIC sul totale della spesa prevista):</w:t>
            </w:r>
          </w:p>
          <w:p>
            <w:pPr>
              <w:pStyle w:val="Normal"/>
              <w:widowControl w:val="false"/>
              <w:textAlignment w:val="baseline"/>
              <w:rPr/>
            </w:pPr>
            <w:r>
              <w:rPr>
                <w:kern w:val="2"/>
                <w:lang w:bidi="en-US"/>
              </w:rPr>
              <w:t xml:space="preserve">                                    </w:t>
            </w:r>
            <w:r>
              <w:rPr>
                <w:rFonts w:eastAsia="Thorndale"/>
                <w:kern w:val="2"/>
                <w:lang w:bidi="en-US"/>
              </w:rPr>
              <w:t xml:space="preserve">&gt; 5% </w:t>
            </w:r>
            <w:r>
              <w:rPr>
                <w:kern w:val="2"/>
                <w:lang w:bidi="en-US"/>
              </w:rPr>
              <w:t>≤</w:t>
            </w:r>
            <w:r>
              <w:rPr>
                <w:rFonts w:eastAsia="Thorndale"/>
                <w:kern w:val="2"/>
                <w:lang w:bidi="en-US"/>
              </w:rPr>
              <w:t xml:space="preserve"> 10%      </w:t>
            </w:r>
          </w:p>
          <w:p>
            <w:pPr>
              <w:pStyle w:val="Normal"/>
              <w:widowControl w:val="false"/>
              <w:textAlignment w:val="baseline"/>
              <w:rPr/>
            </w:pPr>
            <w:r>
              <w:rPr>
                <w:kern w:val="2"/>
                <w:lang w:bidi="en-US"/>
              </w:rPr>
              <w:t xml:space="preserve">                                    </w:t>
            </w:r>
            <w:r>
              <w:rPr>
                <w:rFonts w:eastAsia="Thorndale"/>
                <w:kern w:val="2"/>
                <w:lang w:bidi="en-US"/>
              </w:rPr>
              <w:t xml:space="preserve">&gt; 10% </w:t>
            </w:r>
            <w:r>
              <w:rPr>
                <w:kern w:val="2"/>
                <w:lang w:bidi="en-US"/>
              </w:rPr>
              <w:t>≤</w:t>
            </w:r>
            <w:r>
              <w:rPr>
                <w:rFonts w:eastAsia="Thorndale"/>
                <w:kern w:val="2"/>
                <w:lang w:bidi="en-US"/>
              </w:rPr>
              <w:t xml:space="preserve"> 15%    </w:t>
            </w:r>
          </w:p>
          <w:p>
            <w:pPr>
              <w:pStyle w:val="Normal"/>
              <w:widowControl w:val="false"/>
              <w:textAlignment w:val="baseline"/>
              <w:rPr/>
            </w:pPr>
            <w:r>
              <w:rPr>
                <w:kern w:val="2"/>
                <w:lang w:bidi="en-US"/>
              </w:rPr>
              <w:t xml:space="preserve">                                    </w:t>
            </w:r>
            <w:r>
              <w:rPr>
                <w:rFonts w:eastAsia="Thorndale"/>
                <w:kern w:val="2"/>
                <w:lang w:bidi="en-US"/>
              </w:rPr>
              <w:t xml:space="preserve">&gt;15% </w:t>
            </w:r>
            <w:r>
              <w:rPr>
                <w:kern w:val="2"/>
                <w:lang w:bidi="en-US"/>
              </w:rPr>
              <w:t>≤</w:t>
            </w:r>
            <w:r>
              <w:rPr>
                <w:rFonts w:eastAsia="Thorndale"/>
                <w:kern w:val="2"/>
                <w:lang w:bidi="en-US"/>
              </w:rPr>
              <w:t xml:space="preserve"> 20%     </w:t>
            </w:r>
          </w:p>
          <w:p>
            <w:pPr>
              <w:pStyle w:val="Normal"/>
              <w:widowControl w:val="false"/>
              <w:textAlignment w:val="baseline"/>
              <w:rPr/>
            </w:pPr>
            <w:r>
              <w:rPr>
                <w:kern w:val="2"/>
                <w:lang w:bidi="en-US"/>
              </w:rPr>
              <w:t xml:space="preserve">                                    </w:t>
            </w:r>
            <w:r>
              <w:rPr>
                <w:rFonts w:eastAsia="Thorndale"/>
                <w:kern w:val="2"/>
                <w:lang w:bidi="en-US"/>
              </w:rPr>
              <w:t xml:space="preserve">&gt; 20%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4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8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16</w:t>
            </w:r>
          </w:p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20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eastAsia="Segoe UI"/>
                <w:color w:val="000000"/>
                <w:kern w:val="2"/>
                <w:lang w:bidi="en-US"/>
              </w:rPr>
            </w:pPr>
            <w:r>
              <w:rPr>
                <w:rFonts w:eastAsia="Segoe UI"/>
                <w:color w:val="000000"/>
                <w:kern w:val="2"/>
                <w:lang w:bidi="en-US"/>
              </w:rPr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Servizi e/o processi innovativi destinati alla erogazione dei servizi alla persona: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uppressAutoHyphens w:val="true"/>
              <w:spacing w:lineRule="auto" w:line="276" w:before="0" w:after="120"/>
              <w:ind w:left="317" w:hanging="142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servizi rivolti ai diversamente abili;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uppressAutoHyphens w:val="true"/>
              <w:spacing w:lineRule="auto" w:line="276" w:before="0" w:after="120"/>
              <w:ind w:left="317" w:hanging="142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servizi rivolti alla terza età;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uppressAutoHyphens w:val="true"/>
              <w:spacing w:lineRule="auto" w:line="276" w:before="0" w:after="120"/>
              <w:ind w:left="317" w:hanging="142"/>
              <w:jc w:val="both"/>
              <w:textAlignment w:val="baseline"/>
              <w:rPr/>
            </w:pPr>
            <w:r>
              <w:rPr>
                <w:kern w:val="2"/>
                <w:lang w:bidi="en-US"/>
              </w:rPr>
              <w:t>servizi rivolti all’infanzia e/o giovani.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snapToGrid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</w:r>
          </w:p>
          <w:p>
            <w:pPr>
              <w:pStyle w:val="Normal"/>
              <w:widowControl w:val="false"/>
              <w:spacing w:before="120" w:after="0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5</w:t>
            </w:r>
          </w:p>
          <w:p>
            <w:pPr>
              <w:pStyle w:val="Normal"/>
              <w:widowControl w:val="false"/>
              <w:spacing w:before="240" w:after="0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4</w:t>
            </w:r>
          </w:p>
          <w:p>
            <w:pPr>
              <w:pStyle w:val="Normal"/>
              <w:widowControl w:val="false"/>
              <w:spacing w:before="120" w:after="0"/>
              <w:ind w:right="-23" w:hanging="0"/>
              <w:jc w:val="center"/>
              <w:textAlignment w:val="baseline"/>
              <w:rPr/>
            </w:pPr>
            <w:r>
              <w:rPr>
                <w:kern w:val="2"/>
                <w:lang w:bidi="en-US"/>
              </w:rPr>
              <w:t>3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eastAsia="Segoe UI"/>
                <w:color w:val="000000"/>
                <w:kern w:val="2"/>
                <w:lang w:bidi="en-US"/>
              </w:rPr>
            </w:pPr>
            <w:r>
              <w:rPr>
                <w:rFonts w:eastAsia="Segoe UI"/>
                <w:color w:val="000000"/>
                <w:kern w:val="2"/>
                <w:lang w:bidi="en-US"/>
              </w:rPr>
              <w:t>Localizzazione territoriale (max 10)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jc w:val="both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  <w:t>Interventi con sede operativa e localizzazione in Zona D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-23" w:hanging="0"/>
              <w:jc w:val="center"/>
              <w:textAlignment w:val="baseline"/>
              <w:rPr>
                <w:kern w:val="2"/>
                <w:lang w:bidi="en-US"/>
              </w:rPr>
            </w:pPr>
            <w:r>
              <w:rPr>
                <w:kern w:val="2"/>
                <w:lang w:bidi="en-US"/>
              </w:rPr>
              <w:t>10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ind w:right="-23" w:hanging="0"/>
              <w:jc w:val="center"/>
              <w:textAlignment w:val="baseline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8" w:top="1417" w:footer="72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Glyphicons Halfling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inline distT="0" distB="0" distL="0" distR="0">
          <wp:extent cx="1527175" cy="880110"/>
          <wp:effectExtent l="0" t="0" r="0" b="0"/>
          <wp:docPr id="1" name="Immagin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880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534670" cy="534670"/>
          <wp:effectExtent l="0" t="0" r="0" b="0"/>
          <wp:docPr id="2" name="Immagine 3" descr="Leader-Psr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3" descr="Leader-Psr-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3467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</w:t>
    </w:r>
    <w:r>
      <w:rPr/>
      <w:drawing>
        <wp:inline distT="0" distB="3175" distL="0" distR="5080">
          <wp:extent cx="871220" cy="758825"/>
          <wp:effectExtent l="0" t="0" r="0" b="0"/>
          <wp:docPr id="3" name="Immagine 2" descr="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download.pn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871220" cy="75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</w:t>
    </w:r>
    <w:r>
      <w:rPr/>
      <w:drawing>
        <wp:inline distT="0" distB="9525" distL="0" distR="0">
          <wp:extent cx="2846705" cy="733425"/>
          <wp:effectExtent l="0" t="0" r="0" b="0"/>
          <wp:docPr id="4" name="Immagine 1" descr="Logh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Loghi.jpg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84670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Pidipagina"/>
      <w:jc w:val="center"/>
      <w:rPr>
        <w:rFonts w:ascii="Arial" w:hAnsi="Arial" w:cs="Arial"/>
        <w:b/>
        <w:b/>
        <w:color w:val="222222"/>
        <w:sz w:val="18"/>
        <w:szCs w:val="19"/>
        <w:highlight w:val="white"/>
      </w:rPr>
    </w:pPr>
    <w:r>
      <w:rPr>
        <w:rFonts w:cs="Arial" w:ascii="Arial" w:hAnsi="Arial"/>
        <w:b/>
        <w:color w:val="222222"/>
        <w:sz w:val="18"/>
        <w:szCs w:val="19"/>
        <w:shd w:fill="FFFFFF" w:val="clear"/>
      </w:rPr>
    </w:r>
  </w:p>
  <w:p>
    <w:pPr>
      <w:pStyle w:val="Pidipagina"/>
      <w:jc w:val="center"/>
      <w:rPr/>
    </w:pPr>
    <w:r>
      <w:rPr>
        <w:rFonts w:eastAsia="SimSun" w:cs="Arial" w:ascii="Arial" w:hAnsi="Arial"/>
        <w:b/>
        <w:color w:val="222222"/>
        <w:kern w:val="2"/>
        <w:sz w:val="14"/>
        <w:szCs w:val="19"/>
        <w:shd w:fill="FFFFFF" w:val="clear"/>
        <w:lang w:eastAsia="zh-CN" w:bidi="hi-IN"/>
      </w:rPr>
      <w:t xml:space="preserve">GAL Etna Sud </w:t>
    </w:r>
    <w:r>
      <w:rPr>
        <w:rFonts w:eastAsia="SimSun" w:cs="Arial" w:ascii="Arial" w:hAnsi="Arial"/>
        <w:b/>
        <w:color w:val="222222"/>
        <w:kern w:val="2"/>
        <w:sz w:val="14"/>
        <w:szCs w:val="19"/>
        <w:shd w:fill="FFFFFF" w:val="clear"/>
        <w:lang w:eastAsia="zh-CN" w:bidi="hi-IN"/>
      </w:rPr>
      <w:t>scarl</w:t>
    </w:r>
    <w:r>
      <w:rPr>
        <w:rFonts w:eastAsia="SimSun" w:cs="Arial" w:ascii="Arial" w:hAnsi="Arial"/>
        <w:color w:val="222222"/>
        <w:kern w:val="2"/>
        <w:sz w:val="14"/>
        <w:szCs w:val="19"/>
        <w:shd w:fill="FFFFFF" w:val="clear"/>
        <w:lang w:eastAsia="zh-CN" w:bidi="hi-IN"/>
      </w:rPr>
      <w:t xml:space="preserve"> </w:t>
    </w:r>
    <w:r>
      <w:rPr>
        <w:rFonts w:eastAsia="SimSun" w:cs="Arial" w:ascii="Arial" w:hAnsi="Arial"/>
        <w:color w:val="222222"/>
        <w:kern w:val="2"/>
        <w:sz w:val="14"/>
        <w:szCs w:val="19"/>
        <w:shd w:fill="FFFFFF" w:val="clear"/>
        <w:lang w:eastAsia="zh-CN" w:bidi="hi-IN"/>
      </w:rPr>
      <w:t xml:space="preserve">Piazza Leonardo Da Vinci n. 1 – </w:t>
    </w:r>
    <w:r>
      <w:rPr>
        <w:rFonts w:eastAsia="SimSun" w:cs="Arial" w:ascii="Arial" w:hAnsi="Arial"/>
        <w:color w:val="222222"/>
        <w:kern w:val="2"/>
        <w:sz w:val="14"/>
        <w:szCs w:val="19"/>
        <w:shd w:fill="FFFFFF" w:val="clear"/>
        <w:lang w:eastAsia="zh-CN" w:bidi="hi-IN"/>
      </w:rPr>
      <w:t xml:space="preserve">Sede Operativa: Via Etnea n. 125 - </w:t>
    </w:r>
    <w:r>
      <w:rPr>
        <w:rFonts w:eastAsia="SimSun" w:cs="Arial" w:ascii="Arial" w:hAnsi="Arial"/>
        <w:color w:val="222222"/>
        <w:kern w:val="2"/>
        <w:sz w:val="14"/>
        <w:szCs w:val="19"/>
        <w:shd w:fill="FFFFFF" w:val="clear"/>
        <w:lang w:eastAsia="zh-CN" w:bidi="hi-IN"/>
      </w:rPr>
      <w:t>95030 Mascalucia (CT)</w:t>
    </w:r>
  </w:p>
  <w:p>
    <w:pPr>
      <w:pStyle w:val="Pidipagina"/>
      <w:jc w:val="center"/>
      <w:rPr/>
    </w:pPr>
    <w:r>
      <w:rPr>
        <w:rFonts w:cs="Arial" w:ascii="Arial" w:hAnsi="Arial"/>
        <w:color w:val="222222"/>
        <w:sz w:val="14"/>
        <w:szCs w:val="19"/>
        <w:highlight w:val="white"/>
      </w:rPr>
      <w:t>Partita IVA e Codice Fiscale: 05400630876</w:t>
    </w:r>
    <w:r>
      <w:rPr>
        <w:rFonts w:cs="Arial" w:ascii="Arial" w:hAnsi="Arial"/>
        <w:color w:val="222222"/>
        <w:sz w:val="14"/>
        <w:szCs w:val="19"/>
      </w:rPr>
      <w:t xml:space="preserve"> </w:t>
    </w:r>
    <w:r>
      <w:rPr>
        <w:rFonts w:cs="Arial" w:ascii="Arial" w:hAnsi="Arial"/>
        <w:color w:val="222222"/>
        <w:sz w:val="14"/>
        <w:szCs w:val="19"/>
        <w:highlight w:val="white"/>
      </w:rPr>
      <w:t>N. REA: CT-363811</w:t>
    </w:r>
  </w:p>
  <w:p>
    <w:pPr>
      <w:pStyle w:val="Normal"/>
      <w:jc w:val="center"/>
      <w:rPr/>
    </w:pPr>
    <w:r>
      <w:rPr>
        <w:rFonts w:cs="Arial" w:ascii="Arial" w:hAnsi="Arial"/>
        <w:color w:val="222222"/>
        <w:sz w:val="14"/>
        <w:szCs w:val="19"/>
        <w:highlight w:val="white"/>
      </w:rPr>
      <w:t xml:space="preserve">email: </w:t>
    </w:r>
    <w:hyperlink r:id="rId5">
      <w:r>
        <w:rPr>
          <w:rStyle w:val="CollegamentoInternet"/>
          <w:rFonts w:cs="Arial" w:ascii="Arial" w:hAnsi="Arial"/>
          <w:sz w:val="14"/>
          <w:szCs w:val="19"/>
          <w:highlight w:val="white"/>
        </w:rPr>
        <w:t>info@galetnasud.it</w:t>
      </w:r>
    </w:hyperlink>
    <w:r>
      <w:rPr>
        <w:rFonts w:cs="Arial" w:ascii="Arial" w:hAnsi="Arial"/>
        <w:color w:val="222222"/>
        <w:sz w:val="14"/>
        <w:szCs w:val="19"/>
        <w:highlight w:val="white"/>
      </w:rPr>
      <w:t xml:space="preserve"> pec: </w:t>
    </w:r>
    <w:hyperlink r:id="rId6">
      <w:r>
        <w:rPr>
          <w:rStyle w:val="CollegamentoInternet"/>
          <w:rFonts w:cs="Arial" w:ascii="Arial" w:hAnsi="Arial"/>
          <w:sz w:val="14"/>
          <w:szCs w:val="19"/>
          <w:highlight w:val="white"/>
        </w:rPr>
        <w:t>gal@pec.galetnasud.it</w:t>
      </w:r>
    </w:hyperlink>
    <w:r>
      <w:rPr>
        <w:rStyle w:val="CollegamentoInternet"/>
        <w:rFonts w:cs="Arial" w:ascii="Arial" w:hAnsi="Arial"/>
        <w:sz w:val="14"/>
        <w:szCs w:val="19"/>
        <w:highlight w:val="white"/>
      </w:rPr>
      <w:t xml:space="preserve">  </w:t>
    </w:r>
    <w:r>
      <w:rPr>
        <w:rStyle w:val="CollegamentoInternet"/>
        <w:rFonts w:cs="Arial" w:ascii="Arial" w:hAnsi="Arial"/>
        <w:sz w:val="14"/>
        <w:szCs w:val="19"/>
        <w:highlight w:val="white"/>
      </w:rPr>
      <w:t>sito</w:t>
    </w:r>
    <w:r>
      <w:rPr>
        <w:rStyle w:val="CollegamentoInternet"/>
        <w:rFonts w:cs="Arial" w:ascii="Arial" w:hAnsi="Arial"/>
        <w:color w:val="222222"/>
        <w:sz w:val="14"/>
        <w:szCs w:val="19"/>
        <w:highlight w:val="white"/>
      </w:rPr>
      <w:t xml:space="preserve">: </w:t>
    </w:r>
    <w:r>
      <w:rPr>
        <w:rStyle w:val="CollegamentoInternet"/>
        <w:rFonts w:cs="Arial" w:ascii="Arial" w:hAnsi="Arial"/>
        <w:color w:val="222222"/>
        <w:sz w:val="14"/>
        <w:szCs w:val="19"/>
        <w:highlight w:val="white"/>
      </w:rPr>
      <w:t>www.</w:t>
    </w:r>
    <w:hyperlink r:id="rId7">
      <w:r>
        <w:rPr>
          <w:rStyle w:val="CollegamentoInternet"/>
          <w:rFonts w:cs="Arial" w:ascii="Arial" w:hAnsi="Arial"/>
          <w:sz w:val="14"/>
          <w:szCs w:val="19"/>
          <w:highlight w:val="white"/>
        </w:rPr>
        <w:t>galetnasud.it</w:t>
      </w:r>
    </w:hyperlink>
    <w:r>
      <w:rPr>
        <w:rStyle w:val="CollegamentoInternet"/>
        <w:rFonts w:cs="Arial" w:ascii="Arial" w:hAnsi="Arial"/>
        <w:sz w:val="14"/>
        <w:szCs w:val="19"/>
        <w:highlight w:val="white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4"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"/>
      <w:lvlJc w:val="left"/>
      <w:pPr>
        <w:ind w:left="459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6"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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it-IT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6630de"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it-IT" w:val="it-IT" w:bidi="hi-IN"/>
    </w:rPr>
  </w:style>
  <w:style w:type="paragraph" w:styleId="Titolo1">
    <w:name w:val="Heading 1"/>
    <w:basedOn w:val="Normal"/>
    <w:next w:val="Normal"/>
    <w:qFormat/>
    <w:pPr>
      <w:keepNext w:val="true"/>
      <w:keepLines/>
      <w:widowControl/>
      <w:numPr>
        <w:ilvl w:val="0"/>
        <w:numId w:val="0"/>
      </w:numPr>
      <w:spacing w:lineRule="auto" w:line="276" w:before="480" w:after="0"/>
      <w:outlineLvl w:val="0"/>
    </w:pPr>
    <w:rPr>
      <w:rFonts w:eastAsia="NSimSun" w:cs="Arial"/>
      <w:b/>
      <w:bCs/>
      <w:color w:val="548DD4"/>
      <w:sz w:val="36"/>
      <w:szCs w:val="28"/>
      <w:lang w:val="it-IT"/>
    </w:rPr>
  </w:style>
  <w:style w:type="paragraph" w:styleId="Titolo2">
    <w:name w:val="Heading 2"/>
    <w:basedOn w:val="Normal"/>
    <w:next w:val="Normal"/>
    <w:qFormat/>
    <w:pPr>
      <w:keepNext w:val="true"/>
      <w:suppressAutoHyphens w:val="true"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3"/>
    </w:pPr>
    <w:rPr>
      <w:rFonts w:ascii="Cambria" w:hAnsi="Cambria" w:eastAsia="NSimSun" w:cs="Arial"/>
      <w:b/>
      <w:bCs/>
      <w:i/>
      <w:iCs/>
      <w:color w:val="4F81B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4c142f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4c142f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CollegamentoInternet">
    <w:name w:val="Collegamento Internet"/>
    <w:uiPriority w:val="99"/>
    <w:rsid w:val="004c142f"/>
    <w:rPr>
      <w:color w:val="0000FF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7f377c"/>
    <w:rPr>
      <w:rFonts w:ascii="Segoe UI" w:hAnsi="Segoe UI" w:eastAsia="Times New Roman" w:cs="Segoe UI"/>
      <w:sz w:val="18"/>
      <w:szCs w:val="18"/>
      <w:lang w:eastAsia="it-I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Symbol"/>
    </w:rPr>
  </w:style>
  <w:style w:type="character" w:styleId="ListLabel85">
    <w:name w:val="ListLabel 85"/>
    <w:qFormat/>
    <w:rPr>
      <w:rFonts w:ascii="Arial" w:hAnsi="Arial" w:cs="Arial"/>
      <w:sz w:val="14"/>
      <w:szCs w:val="19"/>
      <w:shd w:fill="FFFFFF" w:val="clear"/>
    </w:rPr>
  </w:style>
  <w:style w:type="character" w:styleId="Saltoaindice">
    <w:name w:val="Salto a indice"/>
    <w:qFormat/>
    <w:rPr/>
  </w:style>
  <w:style w:type="character" w:styleId="CorpotestoCarattere">
    <w:name w:val="Corpo testo Carattere"/>
    <w:basedOn w:val="DefaultParagraphFont"/>
    <w:qFormat/>
    <w:rPr>
      <w:rFonts w:ascii="Calibri" w:hAnsi="Calibri" w:eastAsia="Calibri"/>
      <w:sz w:val="18"/>
      <w:szCs w:val="18"/>
    </w:rPr>
  </w:style>
  <w:style w:type="character" w:styleId="Glyphicon1">
    <w:name w:val="glyphicon1"/>
    <w:basedOn w:val="DefaultParagraphFont"/>
    <w:qFormat/>
    <w:rPr>
      <w:rFonts w:ascii="Glyphicons Halflings" w:hAnsi="Glyphicons Halflings"/>
      <w:b w:val="false"/>
      <w:bCs w:val="false"/>
      <w:i w:val="false"/>
      <w:iCs w:val="false"/>
    </w:rPr>
  </w:style>
  <w:style w:type="character" w:styleId="Titleid1siteid0">
    <w:name w:val="titleid1siteid0"/>
    <w:basedOn w:val="DefaultParagraphFont"/>
    <w:qFormat/>
    <w:rPr/>
  </w:style>
  <w:style w:type="character" w:styleId="SoggettocommentoCarattere1">
    <w:name w:val="Soggetto commento Carattere1"/>
    <w:basedOn w:val="TestocommentoCarattere1"/>
    <w:qFormat/>
    <w:rPr>
      <w:b/>
      <w:bCs/>
      <w:sz w:val="20"/>
      <w:szCs w:val="20"/>
    </w:rPr>
  </w:style>
  <w:style w:type="character" w:styleId="SoggettocommentoCarattere">
    <w:name w:val="Soggetto commento Carattere"/>
    <w:basedOn w:val="TestocommentoCarattere"/>
    <w:qFormat/>
    <w:rPr>
      <w:b/>
      <w:bCs/>
      <w:sz w:val="20"/>
      <w:szCs w:val="20"/>
    </w:rPr>
  </w:style>
  <w:style w:type="character" w:styleId="TestocommentoCarattere1">
    <w:name w:val="Testo commento Carattere1"/>
    <w:basedOn w:val="DefaultParagraphFont"/>
    <w:qFormat/>
    <w:rPr>
      <w:sz w:val="20"/>
      <w:szCs w:val="20"/>
    </w:rPr>
  </w:style>
  <w:style w:type="character" w:styleId="TestocommentoCarattere">
    <w:name w:val="Testo commento Carattere"/>
    <w:basedOn w:val="DefaultParagraphFont"/>
    <w:qFormat/>
    <w:rPr>
      <w:sz w:val="20"/>
      <w:szCs w:val="20"/>
    </w:rPr>
  </w:style>
  <w:style w:type="character" w:styleId="TitoloCarattere">
    <w:name w:val="Titolo Carattere"/>
    <w:basedOn w:val="DefaultParagraphFont"/>
    <w:qFormat/>
    <w:rPr>
      <w:rFonts w:ascii="Cambria" w:hAnsi="Cambria" w:eastAsia="NSimSun" w:cs="Arial"/>
      <w:color w:val="17365D"/>
      <w:spacing w:val="5"/>
      <w:kern w:val="2"/>
      <w:sz w:val="52"/>
      <w:szCs w:val="52"/>
      <w:lang w:val="it-IT"/>
    </w:rPr>
  </w:style>
  <w:style w:type="character" w:styleId="Titolo4Carattere">
    <w:name w:val="Titolo 4 Carattere"/>
    <w:basedOn w:val="DefaultParagraphFont"/>
    <w:qFormat/>
    <w:rPr>
      <w:rFonts w:ascii="Cambria" w:hAnsi="Cambria" w:eastAsia="NSimSun" w:cs="Arial"/>
      <w:b/>
      <w:bCs/>
      <w:i/>
      <w:iCs/>
      <w:color w:val="4F81BD"/>
    </w:rPr>
  </w:style>
  <w:style w:type="character" w:styleId="Titolo2Carattere">
    <w:name w:val="Titolo 2 Carattere"/>
    <w:basedOn w:val="DefaultParagraphFont"/>
    <w:qFormat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styleId="Titolo1Carattere">
    <w:name w:val="Titolo 1 Carattere"/>
    <w:basedOn w:val="DefaultParagraphFont"/>
    <w:qFormat/>
    <w:rPr>
      <w:rFonts w:eastAsia="NSimSun" w:cs="Arial"/>
      <w:b/>
      <w:bCs/>
      <w:color w:val="548DD4"/>
      <w:sz w:val="36"/>
      <w:szCs w:val="28"/>
      <w:lang w:val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">
    <w:name w:val="Header"/>
    <w:basedOn w:val="Normal"/>
    <w:link w:val="IntestazioneCarattere"/>
    <w:uiPriority w:val="99"/>
    <w:unhideWhenUsed/>
    <w:rsid w:val="004c142f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4c142f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7f377c"/>
    <w:pPr/>
    <w:rPr>
      <w:rFonts w:ascii="Segoe UI" w:hAnsi="Segoe UI" w:cs="Segoe UI"/>
      <w:sz w:val="18"/>
      <w:szCs w:val="18"/>
    </w:rPr>
  </w:style>
  <w:style w:type="paragraph" w:styleId="Western" w:customStyle="1">
    <w:name w:val="western"/>
    <w:basedOn w:val="Normal"/>
    <w:qFormat/>
    <w:rsid w:val="007f377c"/>
    <w:pPr>
      <w:spacing w:beforeAutospacing="1" w:after="119"/>
    </w:pPr>
    <w:rPr>
      <w:color w:val="000000"/>
    </w:rPr>
  </w:style>
  <w:style w:type="paragraph" w:styleId="Indice3">
    <w:name w:val="TOC 3"/>
    <w:basedOn w:val="Normal"/>
    <w:next w:val="Normal"/>
    <w:pPr>
      <w:spacing w:before="0" w:after="100"/>
      <w:ind w:left="440" w:right="0" w:hanging="0"/>
    </w:pPr>
    <w:rPr/>
  </w:style>
  <w:style w:type="paragraph" w:styleId="Indice2">
    <w:name w:val="TOC 2"/>
    <w:basedOn w:val="Normal"/>
    <w:next w:val="Normal"/>
    <w:pPr>
      <w:spacing w:before="0" w:after="100"/>
      <w:ind w:left="220" w:right="0" w:hanging="0"/>
    </w:pPr>
    <w:rPr/>
  </w:style>
  <w:style w:type="paragraph" w:styleId="TOCHeading">
    <w:name w:val="TOC Heading"/>
    <w:basedOn w:val="Titolo1"/>
    <w:next w:val="Normal"/>
    <w:qFormat/>
    <w:pPr/>
    <w:rPr>
      <w:color w:val="365F91"/>
      <w:sz w:val="28"/>
    </w:rPr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Times New Roman" w:hAnsi="Times New Roman" w:cs="Times New Roman" w:eastAsia="NSimSun"/>
      <w:color w:val="000000"/>
      <w:kern w:val="2"/>
      <w:sz w:val="24"/>
      <w:szCs w:val="24"/>
      <w:lang w:val="it-IT" w:eastAsia="zh-CN" w:bidi="hi-IN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widowControl/>
      <w:spacing w:before="0" w:after="200"/>
    </w:pPr>
    <w:rPr>
      <w:sz w:val="20"/>
      <w:szCs w:val="20"/>
    </w:rPr>
  </w:style>
  <w:style w:type="paragraph" w:styleId="Corpodeltesto21">
    <w:name w:val="Corpo del testo 21"/>
    <w:basedOn w:val="Normal"/>
    <w:qFormat/>
    <w:pPr>
      <w:widowControl/>
      <w:suppressAutoHyphens w:val="true"/>
      <w:spacing w:lineRule="exact" w:line="539"/>
      <w:jc w:val="both"/>
    </w:pPr>
    <w:rPr>
      <w:rFonts w:ascii="Times New Roman" w:hAnsi="Times New Roman" w:eastAsia="Times New Roman" w:cs="Times New Roman"/>
      <w:sz w:val="20"/>
      <w:szCs w:val="20"/>
      <w:lang w:val="it-IT" w:eastAsia="ar-SA"/>
    </w:rPr>
  </w:style>
  <w:style w:type="paragraph" w:styleId="Titoloprincipale">
    <w:name w:val="Title"/>
    <w:basedOn w:val="Normal"/>
    <w:next w:val="Normal"/>
    <w:qFormat/>
    <w:pPr>
      <w:widowControl/>
      <w:pBdr>
        <w:bottom w:val="single" w:sz="8" w:space="4" w:color="4F81BD"/>
      </w:pBdr>
      <w:spacing w:before="0" w:after="300"/>
      <w:contextualSpacing/>
    </w:pPr>
    <w:rPr>
      <w:rFonts w:ascii="Cambria" w:hAnsi="Cambria" w:eastAsia="NSimSun" w:cs="Arial"/>
      <w:color w:val="17365D"/>
      <w:spacing w:val="5"/>
      <w:kern w:val="2"/>
      <w:sz w:val="52"/>
      <w:szCs w:val="52"/>
      <w:lang w:val="it-IT"/>
    </w:rPr>
  </w:style>
  <w:style w:type="paragraph" w:styleId="Indice1">
    <w:name w:val="TOC 1"/>
    <w:basedOn w:val="Normal"/>
    <w:next w:val="Normal"/>
    <w:pPr>
      <w:widowControl/>
      <w:spacing w:lineRule="auto" w:line="276" w:before="0" w:after="100"/>
    </w:pPr>
    <w:rPr>
      <w:lang w:val="it-IT"/>
    </w:rPr>
  </w:style>
  <w:style w:type="paragraph" w:styleId="Didascalia1">
    <w:name w:val="Didascalia1"/>
    <w:basedOn w:val="Normal"/>
    <w:next w:val="Normal"/>
    <w:qFormat/>
    <w:pPr>
      <w:widowControl/>
      <w:ind w:left="0" w:right="5528" w:hanging="0"/>
    </w:pPr>
    <w:rPr>
      <w:rFonts w:ascii="Times New Roman" w:hAnsi="Times New Roman" w:eastAsia="Times New Roman" w:cs="Times New Roman"/>
      <w:i/>
      <w:sz w:val="40"/>
      <w:szCs w:val="20"/>
      <w:lang w:val="it-IT" w:eastAsia="ar-SA"/>
    </w:rPr>
  </w:style>
  <w:style w:type="paragraph" w:styleId="TableParagraph">
    <w:name w:val="Table Paragraph"/>
    <w:basedOn w:val="Normal"/>
    <w:qFormat/>
    <w:pPr/>
    <w:rPr/>
  </w:style>
  <w:style w:type="paragraph" w:styleId="ListParagraph">
    <w:name w:val="List Paragraph"/>
    <w:basedOn w:val="Normal"/>
    <w:qFormat/>
    <w:pPr/>
    <w:rPr/>
  </w:style>
  <w:style w:type="paragraph" w:styleId="Titolo81">
    <w:name w:val="Titolo 81"/>
    <w:basedOn w:val="Normal"/>
    <w:qFormat/>
    <w:pPr>
      <w:numPr>
        <w:ilvl w:val="0"/>
        <w:numId w:val="0"/>
      </w:numPr>
      <w:spacing w:before="63" w:after="0"/>
      <w:outlineLvl w:val="8"/>
    </w:pPr>
    <w:rPr>
      <w:rFonts w:ascii="Calibri" w:hAnsi="Calibri" w:eastAsia="Calibri"/>
      <w:b/>
      <w:bCs/>
      <w:sz w:val="18"/>
      <w:szCs w:val="18"/>
    </w:rPr>
  </w:style>
  <w:style w:type="paragraph" w:styleId="Titolo71">
    <w:name w:val="Titolo 71"/>
    <w:basedOn w:val="Normal"/>
    <w:qFormat/>
    <w:pPr>
      <w:numPr>
        <w:ilvl w:val="0"/>
        <w:numId w:val="0"/>
      </w:numPr>
      <w:spacing w:before="55" w:after="0"/>
      <w:ind w:left="678" w:right="0" w:hanging="0"/>
      <w:outlineLvl w:val="7"/>
    </w:pPr>
    <w:rPr>
      <w:rFonts w:ascii="Calibri" w:hAnsi="Calibri" w:eastAsia="Calibri"/>
      <w:b/>
      <w:bCs/>
    </w:rPr>
  </w:style>
  <w:style w:type="paragraph" w:styleId="Titolo61">
    <w:name w:val="Titolo 61"/>
    <w:basedOn w:val="Normal"/>
    <w:qFormat/>
    <w:pPr>
      <w:numPr>
        <w:ilvl w:val="0"/>
        <w:numId w:val="0"/>
      </w:numPr>
      <w:ind w:left="1714" w:right="0" w:hanging="360"/>
      <w:outlineLvl w:val="6"/>
    </w:pPr>
    <w:rPr>
      <w:rFonts w:ascii="Calibri" w:hAnsi="Calibri" w:eastAsia="Calibri"/>
      <w:sz w:val="24"/>
      <w:szCs w:val="24"/>
    </w:rPr>
  </w:style>
  <w:style w:type="paragraph" w:styleId="Titolo51">
    <w:name w:val="Titolo 51"/>
    <w:basedOn w:val="Normal"/>
    <w:qFormat/>
    <w:pPr>
      <w:numPr>
        <w:ilvl w:val="0"/>
        <w:numId w:val="0"/>
      </w:numPr>
      <w:spacing w:before="51" w:after="0"/>
      <w:ind w:left="1114" w:right="0" w:hanging="0"/>
      <w:outlineLvl w:val="5"/>
    </w:pPr>
    <w:rPr>
      <w:rFonts w:ascii="Calibri" w:hAnsi="Calibri" w:eastAsia="Calibri"/>
      <w:b/>
      <w:bCs/>
      <w:sz w:val="24"/>
      <w:szCs w:val="24"/>
    </w:rPr>
  </w:style>
  <w:style w:type="paragraph" w:styleId="Titolo41">
    <w:name w:val="Titolo 41"/>
    <w:basedOn w:val="Normal"/>
    <w:qFormat/>
    <w:pPr>
      <w:numPr>
        <w:ilvl w:val="0"/>
        <w:numId w:val="0"/>
      </w:numPr>
      <w:spacing w:before="63" w:after="0"/>
      <w:ind w:left="497" w:right="0" w:hanging="0"/>
      <w:outlineLvl w:val="4"/>
    </w:pPr>
    <w:rPr>
      <w:rFonts w:ascii="Trebuchet MS" w:hAnsi="Trebuchet MS" w:eastAsia="Trebuchet MS"/>
      <w:b/>
      <w:bCs/>
      <w:i/>
      <w:sz w:val="28"/>
      <w:szCs w:val="28"/>
    </w:rPr>
  </w:style>
  <w:style w:type="paragraph" w:styleId="Titolo31">
    <w:name w:val="Titolo 31"/>
    <w:basedOn w:val="Normal"/>
    <w:qFormat/>
    <w:pPr>
      <w:numPr>
        <w:ilvl w:val="0"/>
        <w:numId w:val="0"/>
      </w:numPr>
      <w:spacing w:before="43" w:after="0"/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Titolo21">
    <w:name w:val="Titolo 21"/>
    <w:basedOn w:val="Normal"/>
    <w:qFormat/>
    <w:pPr>
      <w:numPr>
        <w:ilvl w:val="0"/>
        <w:numId w:val="0"/>
      </w:numPr>
      <w:spacing w:before="49" w:after="0"/>
      <w:ind w:left="607" w:right="0" w:hanging="0"/>
      <w:outlineLvl w:val="2"/>
    </w:pPr>
    <w:rPr>
      <w:rFonts w:eastAsia="Cambria"/>
      <w:b/>
      <w:bCs/>
      <w:sz w:val="28"/>
      <w:szCs w:val="36"/>
    </w:rPr>
  </w:style>
  <w:style w:type="paragraph" w:styleId="Titolo11">
    <w:name w:val="Titolo 11"/>
    <w:basedOn w:val="Normal"/>
    <w:qFormat/>
    <w:pPr>
      <w:numPr>
        <w:ilvl w:val="0"/>
        <w:numId w:val="0"/>
      </w:numPr>
      <w:spacing w:before="44" w:after="0"/>
      <w:ind w:left="1039" w:right="0" w:hanging="0"/>
      <w:outlineLvl w:val="1"/>
    </w:pPr>
    <w:rPr>
      <w:rFonts w:ascii="Cambria" w:hAnsi="Cambria" w:eastAsia="Cambria"/>
      <w:sz w:val="40"/>
      <w:szCs w:val="4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jpeg"/><Relationship Id="rId5" Type="http://schemas.openxmlformats.org/officeDocument/2006/relationships/hyperlink" Target="mailto:info@galetnasud.it" TargetMode="External"/><Relationship Id="rId6" Type="http://schemas.openxmlformats.org/officeDocument/2006/relationships/hyperlink" Target="mailto:gal@pec.galetnasud.it" TargetMode="External"/><Relationship Id="rId7" Type="http://schemas.openxmlformats.org/officeDocument/2006/relationships/hyperlink" Target="mailto:gal@pec.galetnasud.it" TargetMode="Externa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LibreOffice/6.2.0.3$Windows_X86_64 LibreOffice_project/98c6a8a1c6c7b144ce3cc729e34964b47ce25d62</Application>
  <Pages>3</Pages>
  <Words>532</Words>
  <Characters>2775</Characters>
  <CharactersWithSpaces>3380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2019-03-14T09:59:00Z</dcterms:created>
  <dc:creator>Giuseppe</dc:creator>
  <dc:description/>
  <dc:language>it-IT</dc:language>
  <cp:lastModifiedBy/>
  <dcterms:modified xsi:type="dcterms:W3CDTF">2020-01-09T16:05:07Z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